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Mar>
          <w:left w:w="0" w:type="dxa"/>
          <w:right w:w="0" w:type="dxa"/>
        </w:tblCellMar>
        <w:tblLook w:val="04A0" w:firstRow="1" w:lastRow="0" w:firstColumn="1" w:lastColumn="0" w:noHBand="0" w:noVBand="1"/>
      </w:tblPr>
      <w:tblGrid>
        <w:gridCol w:w="9000"/>
      </w:tblGrid>
      <w:tr w:rsidR="00634699" w:rsidRPr="00EF739F" w14:paraId="77A25C29" w14:textId="77777777" w:rsidTr="00F66BB0">
        <w:tc>
          <w:tcPr>
            <w:tcW w:w="9000" w:type="dxa"/>
            <w:hideMark/>
          </w:tcPr>
          <w:tbl>
            <w:tblPr>
              <w:tblW w:w="0" w:type="auto"/>
              <w:tblCellMar>
                <w:left w:w="0" w:type="dxa"/>
                <w:right w:w="0" w:type="dxa"/>
              </w:tblCellMar>
              <w:tblLook w:val="04A0" w:firstRow="1" w:lastRow="0" w:firstColumn="1" w:lastColumn="0" w:noHBand="0" w:noVBand="1"/>
            </w:tblPr>
            <w:tblGrid>
              <w:gridCol w:w="9000"/>
            </w:tblGrid>
            <w:tr w:rsidR="00634699" w:rsidRPr="00EF739F" w14:paraId="2A54FDAB" w14:textId="77777777" w:rsidTr="00F66BB0">
              <w:tc>
                <w:tcPr>
                  <w:tcW w:w="9000" w:type="dxa"/>
                  <w:tcBorders>
                    <w:top w:val="single" w:sz="24" w:space="0" w:color="FFFFFF"/>
                  </w:tcBorders>
                  <w:hideMark/>
                </w:tcPr>
                <w:p w14:paraId="78E2A807" w14:textId="77777777" w:rsidR="00634699" w:rsidRPr="00EF739F" w:rsidRDefault="00634699" w:rsidP="00F66BB0">
                  <w:pPr>
                    <w:spacing w:after="0" w:line="240" w:lineRule="auto"/>
                    <w:jc w:val="center"/>
                    <w:textAlignment w:val="baseline"/>
                    <w:rPr>
                      <w:rFonts w:ascii="Aptos" w:eastAsia="Times New Roman" w:hAnsi="Aptos" w:cs="Times New Roman"/>
                      <w:color w:val="0000FF"/>
                    </w:rPr>
                  </w:pPr>
                  <w:r w:rsidRPr="00EF739F">
                    <w:rPr>
                      <w:rFonts w:ascii="Aptos" w:eastAsia="Times New Roman" w:hAnsi="Aptos" w:cs="Times New Roman"/>
                      <w:noProof/>
                      <w:color w:val="0000FF"/>
                      <w:u w:val="single"/>
                      <w:bdr w:val="none" w:sz="0" w:space="0" w:color="auto" w:frame="1"/>
                    </w:rPr>
                    <w:drawing>
                      <wp:inline distT="0" distB="0" distL="0" distR="0" wp14:anchorId="2AB67D2B" wp14:editId="35ECA03B">
                        <wp:extent cx="5715000" cy="952500"/>
                        <wp:effectExtent l="0" t="0" r="0" b="0"/>
                        <wp:docPr id="5" name="Picture 2" descr="APHL NewSTEPs Newsletter Header">
                          <a:hlinkClick xmlns:a="http://schemas.openxmlformats.org/drawingml/2006/main" r:id="rId5" tooltip="Original URL: http://send.aphl.org/link.cfm?r=JC2oFm4w75uHW-4oP2HoFA~~&amp;pe=tvr94Qg81Sc2wmJhc5ufAEQ3K-oW4pwb_uSoWnGDUi4L9CLT_w8TuwdqW0lWLD9omGkJVa8Pjesy6A_ZDc1Skg~~&amp;t=ZZO0hxuOgQ8w-UxmH15SAQ~~.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HL NewSTEPs Newsletter 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952500"/>
                                </a:xfrm>
                                <a:prstGeom prst="rect">
                                  <a:avLst/>
                                </a:prstGeom>
                                <a:noFill/>
                                <a:ln>
                                  <a:noFill/>
                                </a:ln>
                              </pic:spPr>
                            </pic:pic>
                          </a:graphicData>
                        </a:graphic>
                      </wp:inline>
                    </w:drawing>
                  </w:r>
                </w:p>
              </w:tc>
            </w:tr>
            <w:tr w:rsidR="00634699" w:rsidRPr="00EF739F" w14:paraId="6BBF5362" w14:textId="77777777" w:rsidTr="00F66BB0">
              <w:tc>
                <w:tcPr>
                  <w:tcW w:w="9000" w:type="dxa"/>
                  <w:tcBorders>
                    <w:top w:val="single" w:sz="24" w:space="0" w:color="FFFFFF"/>
                  </w:tcBorders>
                  <w:shd w:val="clear" w:color="auto" w:fill="EE7723"/>
                  <w:tcMar>
                    <w:top w:w="120" w:type="dxa"/>
                    <w:left w:w="300" w:type="dxa"/>
                    <w:bottom w:w="120" w:type="dxa"/>
                    <w:right w:w="300" w:type="dxa"/>
                  </w:tcMar>
                  <w:hideMark/>
                </w:tcPr>
                <w:p w14:paraId="19945CF8" w14:textId="77777777" w:rsidR="00634699" w:rsidRPr="00EF739F" w:rsidRDefault="00634699" w:rsidP="00F66BB0">
                  <w:pPr>
                    <w:spacing w:after="0" w:line="240" w:lineRule="auto"/>
                    <w:textAlignment w:val="baseline"/>
                    <w:rPr>
                      <w:rFonts w:ascii="Aptos" w:eastAsia="Times New Roman" w:hAnsi="Aptos" w:cs="Times New Roman"/>
                      <w:color w:val="FFFFFF"/>
                    </w:rPr>
                  </w:pPr>
                  <w:r w:rsidRPr="00EF739F">
                    <w:rPr>
                      <w:rFonts w:ascii="Aptos" w:eastAsia="Times New Roman" w:hAnsi="Aptos" w:cs="Times New Roman"/>
                      <w:b/>
                      <w:bCs/>
                      <w:color w:val="FFFFFF"/>
                    </w:rPr>
                    <w:t xml:space="preserve">Gather and Grow: Prenatal Education | November 19, </w:t>
                  </w:r>
                  <w:proofErr w:type="gramStart"/>
                  <w:r w:rsidRPr="00EF739F">
                    <w:rPr>
                      <w:rFonts w:ascii="Aptos" w:eastAsia="Times New Roman" w:hAnsi="Aptos" w:cs="Times New Roman"/>
                      <w:b/>
                      <w:bCs/>
                      <w:color w:val="FFFFFF"/>
                    </w:rPr>
                    <w:t>2025</w:t>
                  </w:r>
                  <w:proofErr w:type="gramEnd"/>
                  <w:r w:rsidRPr="00EF739F">
                    <w:rPr>
                      <w:rFonts w:ascii="Aptos" w:eastAsia="Times New Roman" w:hAnsi="Aptos" w:cs="Times New Roman"/>
                      <w:b/>
                      <w:bCs/>
                      <w:color w:val="FFFFFF"/>
                    </w:rPr>
                    <w:t xml:space="preserve"> </w:t>
                  </w:r>
                </w:p>
              </w:tc>
            </w:tr>
            <w:tr w:rsidR="00634699" w:rsidRPr="00EF739F" w14:paraId="0916B71D" w14:textId="77777777" w:rsidTr="00F66BB0">
              <w:tc>
                <w:tcPr>
                  <w:tcW w:w="9000" w:type="dxa"/>
                  <w:shd w:val="clear" w:color="auto" w:fill="FFFFFF"/>
                  <w:tcMar>
                    <w:top w:w="300" w:type="dxa"/>
                    <w:left w:w="300" w:type="dxa"/>
                    <w:bottom w:w="375" w:type="dxa"/>
                    <w:right w:w="300" w:type="dxa"/>
                  </w:tcMar>
                  <w:hideMark/>
                </w:tcPr>
                <w:p w14:paraId="25EEC6C5" w14:textId="77777777" w:rsidR="00634699" w:rsidRPr="00EF739F" w:rsidRDefault="00634699" w:rsidP="00F66BB0">
                  <w:pPr>
                    <w:keepNext/>
                    <w:keepLines/>
                    <w:spacing w:before="200" w:after="0"/>
                    <w:outlineLvl w:val="1"/>
                    <w:rPr>
                      <w:rFonts w:ascii="Aptos" w:eastAsiaTheme="majorEastAsia" w:hAnsi="Aptos" w:cstheme="majorBidi"/>
                      <w:b/>
                      <w:bCs/>
                      <w:color w:val="8E4585"/>
                    </w:rPr>
                  </w:pPr>
                  <w:r>
                    <w:rPr>
                      <w:rFonts w:ascii="Aptos" w:eastAsiaTheme="majorEastAsia" w:hAnsi="Aptos" w:cstheme="majorBidi"/>
                      <w:b/>
                      <w:bCs/>
                      <w:color w:val="8E4585"/>
                    </w:rPr>
                    <w:t>O</w:t>
                  </w:r>
                  <w:r w:rsidRPr="00EF739F">
                    <w:rPr>
                      <w:rFonts w:ascii="Aptos" w:eastAsiaTheme="majorEastAsia" w:hAnsi="Aptos" w:cstheme="majorBidi"/>
                      <w:b/>
                      <w:bCs/>
                      <w:color w:val="8E4585"/>
                    </w:rPr>
                    <w:t>verview</w:t>
                  </w:r>
                </w:p>
                <w:p w14:paraId="544C4A42" w14:textId="77777777" w:rsidR="00634699" w:rsidRPr="00EF739F" w:rsidRDefault="00634699" w:rsidP="00F66BB0">
                  <w:pPr>
                    <w:rPr>
                      <w:rFonts w:ascii="Aptos" w:hAnsi="Aptos"/>
                    </w:rPr>
                  </w:pPr>
                  <w:r w:rsidRPr="00EF739F">
                    <w:rPr>
                      <w:rFonts w:ascii="Aptos" w:hAnsi="Aptos"/>
                    </w:rPr>
                    <w:t>The November Gather and Grow session focused on state-level prenatal education initiatives related to newborn screening (NBS). Participants shared current activities, challenges, and opportunities for national standardization.</w:t>
                  </w:r>
                </w:p>
                <w:p w14:paraId="0DC9A5E3" w14:textId="77777777" w:rsidR="00634699" w:rsidRPr="00EF739F" w:rsidRDefault="00634699" w:rsidP="00F66BB0">
                  <w:pPr>
                    <w:keepNext/>
                    <w:keepLines/>
                    <w:spacing w:before="200" w:after="0"/>
                    <w:outlineLvl w:val="1"/>
                    <w:rPr>
                      <w:rFonts w:ascii="Aptos" w:eastAsiaTheme="majorEastAsia" w:hAnsi="Aptos" w:cstheme="majorBidi"/>
                      <w:b/>
                      <w:bCs/>
                      <w:color w:val="8E4585"/>
                    </w:rPr>
                  </w:pPr>
                  <w:r w:rsidRPr="00EF739F">
                    <w:rPr>
                      <w:rFonts w:ascii="Aptos" w:eastAsiaTheme="majorEastAsia" w:hAnsi="Aptos" w:cstheme="majorBidi"/>
                      <w:b/>
                      <w:bCs/>
                      <w:color w:val="8E4585"/>
                    </w:rPr>
                    <w:t>Poll Results</w:t>
                  </w:r>
                </w:p>
                <w:p w14:paraId="0BEDBC20" w14:textId="77777777" w:rsidR="00634699" w:rsidRPr="00EF739F" w:rsidRDefault="00634699" w:rsidP="00F66BB0">
                  <w:pPr>
                    <w:rPr>
                      <w:rFonts w:ascii="Aptos" w:hAnsi="Aptos"/>
                      <w:sz w:val="20"/>
                      <w:szCs w:val="20"/>
                    </w:rPr>
                  </w:pPr>
                  <w:r w:rsidRPr="00EF739F">
                    <w:rPr>
                      <w:rFonts w:ascii="Aptos" w:hAnsi="Aptos"/>
                      <w:sz w:val="20"/>
                      <w:szCs w:val="20"/>
                    </w:rPr>
                    <w:t>1. Active engagement in prenatal education? Yes: 49%, No: 51%</w:t>
                  </w:r>
                </w:p>
                <w:p w14:paraId="3A56D61E" w14:textId="77777777" w:rsidR="00634699" w:rsidRPr="00EF739F" w:rsidRDefault="00634699" w:rsidP="00F66BB0">
                  <w:pPr>
                    <w:rPr>
                      <w:rFonts w:ascii="Aptos" w:hAnsi="Aptos"/>
                      <w:sz w:val="20"/>
                      <w:szCs w:val="20"/>
                    </w:rPr>
                  </w:pPr>
                  <w:r w:rsidRPr="00EF739F">
                    <w:rPr>
                      <w:rFonts w:ascii="Aptos" w:hAnsi="Aptos"/>
                      <w:sz w:val="20"/>
                      <w:szCs w:val="20"/>
                    </w:rPr>
                    <w:t>2. Connected with ACOG, PQC, or other prenatal groups? Yes: 30%, No: 70%</w:t>
                  </w:r>
                </w:p>
                <w:p w14:paraId="3061031C" w14:textId="77777777" w:rsidR="00634699" w:rsidRPr="00EF739F" w:rsidRDefault="00634699" w:rsidP="00F66BB0">
                  <w:pPr>
                    <w:rPr>
                      <w:rFonts w:ascii="Aptos" w:hAnsi="Aptos"/>
                      <w:sz w:val="20"/>
                      <w:szCs w:val="20"/>
                    </w:rPr>
                  </w:pPr>
                  <w:r w:rsidRPr="00EF739F">
                    <w:rPr>
                      <w:rFonts w:ascii="Aptos" w:hAnsi="Aptos"/>
                      <w:sz w:val="20"/>
                      <w:szCs w:val="20"/>
                    </w:rPr>
                    <w:t>3. Can parts of prenatal education be standardized nationally? Yes: 75%, No: 4%, Unsure: 21%</w:t>
                  </w:r>
                </w:p>
                <w:p w14:paraId="14C10438" w14:textId="77777777" w:rsidR="00634699" w:rsidRPr="00EF739F" w:rsidRDefault="00634699" w:rsidP="00F66BB0">
                  <w:pPr>
                    <w:keepNext/>
                    <w:keepLines/>
                    <w:spacing w:before="200" w:after="0"/>
                    <w:outlineLvl w:val="1"/>
                    <w:rPr>
                      <w:rFonts w:ascii="Aptos" w:eastAsiaTheme="majorEastAsia" w:hAnsi="Aptos" w:cstheme="majorBidi"/>
                      <w:b/>
                      <w:bCs/>
                      <w:color w:val="8E4585"/>
                    </w:rPr>
                  </w:pPr>
                  <w:r w:rsidRPr="00EF739F">
                    <w:rPr>
                      <w:rFonts w:ascii="Aptos" w:eastAsiaTheme="majorEastAsia" w:hAnsi="Aptos" w:cstheme="majorBidi"/>
                      <w:b/>
                      <w:bCs/>
                      <w:color w:val="8E4585"/>
                    </w:rPr>
                    <w:t>State Highlights</w:t>
                  </w:r>
                </w:p>
                <w:p w14:paraId="09BAB123" w14:textId="77777777" w:rsidR="000F77F0" w:rsidRDefault="000F77F0" w:rsidP="000F77F0">
                  <w:pPr>
                    <w:spacing w:after="0" w:line="240" w:lineRule="auto"/>
                    <w:rPr>
                      <w:rFonts w:ascii="Aptos" w:eastAsiaTheme="majorEastAsia" w:hAnsi="Aptos" w:cstheme="majorBidi"/>
                      <w:b/>
                      <w:bCs/>
                      <w:color w:val="77206D" w:themeColor="accent5" w:themeShade="BF"/>
                    </w:rPr>
                  </w:pPr>
                </w:p>
                <w:p w14:paraId="4BCB90EA" w14:textId="5E915D71" w:rsidR="00634699" w:rsidRPr="000F77F0" w:rsidRDefault="00634699" w:rsidP="000F77F0">
                  <w:pPr>
                    <w:spacing w:after="0" w:line="240" w:lineRule="auto"/>
                    <w:rPr>
                      <w:rFonts w:ascii="Aptos" w:eastAsia="Times New Roman" w:hAnsi="Aptos" w:cs="Arial"/>
                      <w:color w:val="000000"/>
                    </w:rPr>
                  </w:pPr>
                  <w:r w:rsidRPr="00EF739F">
                    <w:rPr>
                      <w:rFonts w:ascii="Aptos" w:eastAsiaTheme="majorEastAsia" w:hAnsi="Aptos" w:cstheme="majorBidi"/>
                      <w:b/>
                      <w:bCs/>
                      <w:color w:val="77206D" w:themeColor="accent5" w:themeShade="BF"/>
                    </w:rPr>
                    <w:t>Arizona</w:t>
                  </w:r>
                  <w:r w:rsidR="000F77F0">
                    <w:rPr>
                      <w:rFonts w:ascii="Aptos" w:eastAsiaTheme="majorEastAsia" w:hAnsi="Aptos" w:cstheme="majorBidi"/>
                      <w:b/>
                      <w:bCs/>
                      <w:color w:val="77206D" w:themeColor="accent5" w:themeShade="BF"/>
                    </w:rPr>
                    <w:t xml:space="preserve"> </w:t>
                  </w:r>
                  <w:r w:rsidR="000F77F0" w:rsidRPr="000F77F0">
                    <w:rPr>
                      <w:rFonts w:ascii="Aptos" w:eastAsiaTheme="majorEastAsia" w:hAnsi="Aptos" w:cstheme="majorBidi"/>
                      <w:b/>
                      <w:bCs/>
                      <w:color w:val="77206D"/>
                    </w:rPr>
                    <w:t>(</w:t>
                  </w:r>
                  <w:r w:rsidR="000F77F0" w:rsidRPr="000F77F0">
                    <w:rPr>
                      <w:rFonts w:ascii="Aptos" w:hAnsi="Aptos" w:cs="Arial"/>
                      <w:b/>
                      <w:bCs/>
                      <w:color w:val="77206D"/>
                    </w:rPr>
                    <w:t xml:space="preserve">Katherine Fullerton, MSc, Newborn Screening Educator, Arizona State Public Health Laboratory </w:t>
                  </w:r>
                  <w:r w:rsidR="000F77F0" w:rsidRPr="000F77F0">
                    <w:rPr>
                      <w:rFonts w:ascii="Aptos" w:eastAsiaTheme="majorEastAsia" w:hAnsi="Aptos" w:cstheme="majorBidi"/>
                      <w:b/>
                      <w:bCs/>
                      <w:color w:val="77206D"/>
                    </w:rPr>
                    <w:t>and</w:t>
                  </w:r>
                  <w:r w:rsidR="000F77F0" w:rsidRPr="000F77F0">
                    <w:rPr>
                      <w:rFonts w:ascii="Aptos" w:eastAsiaTheme="majorEastAsia" w:hAnsi="Aptos" w:cstheme="majorBidi"/>
                      <w:b/>
                      <w:bCs/>
                      <w:color w:val="7030A0"/>
                    </w:rPr>
                    <w:t xml:space="preserve"> </w:t>
                  </w:r>
                  <w:r w:rsidR="000F77F0">
                    <w:rPr>
                      <w:rFonts w:ascii="Aptos" w:eastAsiaTheme="majorEastAsia" w:hAnsi="Aptos" w:cstheme="majorBidi"/>
                      <w:b/>
                      <w:bCs/>
                      <w:color w:val="77206D" w:themeColor="accent5" w:themeShade="BF"/>
                    </w:rPr>
                    <w:t>Eric Yang: APHL Newborn Screening Fellow)</w:t>
                  </w:r>
                </w:p>
                <w:p w14:paraId="5B83402A" w14:textId="77777777" w:rsidR="00634699" w:rsidRPr="00EF739F" w:rsidRDefault="00634699" w:rsidP="00F66BB0">
                  <w:pPr>
                    <w:rPr>
                      <w:rFonts w:ascii="Aptos" w:hAnsi="Aptos"/>
                    </w:rPr>
                  </w:pPr>
                  <w:r w:rsidRPr="00EF739F">
                    <w:rPr>
                      <w:rFonts w:ascii="Aptos" w:hAnsi="Aptos"/>
                    </w:rPr>
                    <w:t xml:space="preserve">Arizona has pursued comprehensive outreach to prenatal providers, including </w:t>
                  </w:r>
                  <w:r w:rsidRPr="008E1F15">
                    <w:rPr>
                      <w:rFonts w:ascii="Aptos" w:hAnsi="Aptos"/>
                    </w:rPr>
                    <w:t>obstetrician and gynecologist</w:t>
                  </w:r>
                  <w:r>
                    <w:rPr>
                      <w:rFonts w:ascii="Aptos" w:hAnsi="Aptos"/>
                    </w:rPr>
                    <w:t>s (</w:t>
                  </w:r>
                  <w:r w:rsidRPr="00EF739F">
                    <w:rPr>
                      <w:rFonts w:ascii="Aptos" w:hAnsi="Aptos"/>
                    </w:rPr>
                    <w:t>OB-GYNs</w:t>
                  </w:r>
                  <w:r>
                    <w:rPr>
                      <w:rFonts w:ascii="Aptos" w:hAnsi="Aptos"/>
                    </w:rPr>
                    <w:t>)</w:t>
                  </w:r>
                  <w:r w:rsidRPr="00EF739F">
                    <w:rPr>
                      <w:rFonts w:ascii="Aptos" w:hAnsi="Aptos"/>
                    </w:rPr>
                    <w:t>, midwives, and office managers. Efforts included distributing prenatal education packets, making follow-up calls, and offering multiple resource formats such as posters and brochures.</w:t>
                  </w:r>
                </w:p>
                <w:p w14:paraId="55417F52" w14:textId="77777777" w:rsidR="00634699" w:rsidRPr="00EF739F" w:rsidRDefault="00634699" w:rsidP="00F66BB0">
                  <w:pPr>
                    <w:keepNext/>
                    <w:keepLines/>
                    <w:spacing w:before="200" w:after="0"/>
                    <w:ind w:left="720"/>
                    <w:outlineLvl w:val="3"/>
                    <w:rPr>
                      <w:rFonts w:ascii="Aptos" w:eastAsiaTheme="majorEastAsia" w:hAnsi="Aptos" w:cstheme="majorBidi"/>
                      <w:b/>
                      <w:bCs/>
                      <w:i/>
                      <w:iCs/>
                      <w:color w:val="77206D" w:themeColor="accent5" w:themeShade="BF"/>
                    </w:rPr>
                  </w:pPr>
                  <w:r w:rsidRPr="00EF739F">
                    <w:rPr>
                      <w:rFonts w:ascii="Aptos" w:eastAsiaTheme="majorEastAsia" w:hAnsi="Aptos" w:cstheme="majorBidi"/>
                      <w:b/>
                      <w:bCs/>
                      <w:i/>
                      <w:iCs/>
                      <w:color w:val="77206D" w:themeColor="accent5" w:themeShade="BF"/>
                    </w:rPr>
                    <w:t>Prenatal Education Campaign</w:t>
                  </w:r>
                </w:p>
                <w:p w14:paraId="4CBE547D" w14:textId="77777777" w:rsidR="00634699" w:rsidRPr="008A6F07" w:rsidRDefault="00634699" w:rsidP="00F66BB0">
                  <w:pPr>
                    <w:ind w:left="720"/>
                    <w:rPr>
                      <w:rFonts w:ascii="Aptos" w:hAnsi="Aptos"/>
                    </w:rPr>
                  </w:pPr>
                  <w:r w:rsidRPr="00EF739F">
                    <w:rPr>
                      <w:rFonts w:ascii="Aptos" w:hAnsi="Aptos"/>
                    </w:rPr>
                    <w:t xml:space="preserve">Launched September 2025. Includes a </w:t>
                  </w:r>
                  <w:hyperlink r:id="rId7" w:history="1">
                    <w:r w:rsidRPr="00EF739F">
                      <w:rPr>
                        <w:rStyle w:val="Hyperlink"/>
                        <w:rFonts w:ascii="Aptos" w:hAnsi="Aptos"/>
                      </w:rPr>
                      <w:t>video series</w:t>
                    </w:r>
                  </w:hyperlink>
                  <w:r w:rsidRPr="00EF739F">
                    <w:rPr>
                      <w:rFonts w:ascii="Aptos" w:hAnsi="Aptos"/>
                    </w:rPr>
                    <w:t xml:space="preserve"> embedded within a QR-code-based educational brochure. Emphasizes reaching families before birth. Materials are distributed directly to prenatal providers with requests to display them in offices. Planning a statewide survey to assess when families first hear about NBS.</w:t>
                  </w:r>
                </w:p>
                <w:p w14:paraId="3CBC283C" w14:textId="1446F0F1" w:rsidR="00634699" w:rsidRPr="000F77F0" w:rsidRDefault="00634699" w:rsidP="00F66BB0">
                  <w:pPr>
                    <w:keepNext/>
                    <w:keepLines/>
                    <w:spacing w:before="200" w:after="0"/>
                    <w:outlineLvl w:val="2"/>
                    <w:rPr>
                      <w:rFonts w:ascii="Aptos" w:eastAsiaTheme="majorEastAsia" w:hAnsi="Aptos" w:cstheme="majorBidi"/>
                      <w:b/>
                      <w:bCs/>
                      <w:color w:val="77206D"/>
                    </w:rPr>
                  </w:pPr>
                  <w:r w:rsidRPr="00EF739F">
                    <w:rPr>
                      <w:rFonts w:ascii="Aptos" w:eastAsiaTheme="majorEastAsia" w:hAnsi="Aptos" w:cstheme="majorBidi"/>
                      <w:b/>
                      <w:bCs/>
                      <w:color w:val="77206D" w:themeColor="accent5" w:themeShade="BF"/>
                    </w:rPr>
                    <w:t xml:space="preserve">North </w:t>
                  </w:r>
                  <w:proofErr w:type="gramStart"/>
                  <w:r w:rsidRPr="00EF739F">
                    <w:rPr>
                      <w:rFonts w:ascii="Aptos" w:eastAsiaTheme="majorEastAsia" w:hAnsi="Aptos" w:cstheme="majorBidi"/>
                      <w:b/>
                      <w:bCs/>
                      <w:color w:val="77206D" w:themeColor="accent5" w:themeShade="BF"/>
                    </w:rPr>
                    <w:t>Dakota</w:t>
                  </w:r>
                  <w:r w:rsidR="000F77F0">
                    <w:rPr>
                      <w:rFonts w:ascii="Aptos" w:eastAsiaTheme="majorEastAsia" w:hAnsi="Aptos" w:cstheme="majorBidi"/>
                      <w:b/>
                      <w:bCs/>
                      <w:color w:val="77206D" w:themeColor="accent5" w:themeShade="BF"/>
                    </w:rPr>
                    <w:t xml:space="preserve"> </w:t>
                  </w:r>
                  <w:r w:rsidR="000F77F0">
                    <w:rPr>
                      <w:rFonts w:ascii="Aptos" w:hAnsi="Aptos"/>
                      <w:color w:val="000000"/>
                      <w:shd w:val="clear" w:color="auto" w:fill="FFFFFF"/>
                    </w:rPr>
                    <w:t> </w:t>
                  </w:r>
                  <w:r w:rsidR="000F77F0" w:rsidRPr="000F77F0">
                    <w:rPr>
                      <w:rFonts w:ascii="Aptos" w:hAnsi="Aptos"/>
                      <w:b/>
                      <w:bCs/>
                      <w:color w:val="77206D"/>
                      <w:shd w:val="clear" w:color="auto" w:fill="FFFFFF"/>
                    </w:rPr>
                    <w:t>(</w:t>
                  </w:r>
                  <w:proofErr w:type="gramEnd"/>
                  <w:r w:rsidR="000F77F0" w:rsidRPr="000F77F0">
                    <w:rPr>
                      <w:rFonts w:ascii="Aptos" w:hAnsi="Aptos"/>
                      <w:b/>
                      <w:bCs/>
                      <w:color w:val="77206D"/>
                      <w:shd w:val="clear" w:color="auto" w:fill="FFFFFF"/>
                    </w:rPr>
                    <w:t>Amy Burke, RN, NBS Nurse Consultant, North Dakota Department of Health)</w:t>
                  </w:r>
                </w:p>
                <w:p w14:paraId="1960640F" w14:textId="77777777" w:rsidR="00634699" w:rsidRDefault="00634699" w:rsidP="00F66BB0">
                  <w:pPr>
                    <w:rPr>
                      <w:rFonts w:ascii="Aptos" w:hAnsi="Aptos"/>
                    </w:rPr>
                  </w:pPr>
                  <w:r w:rsidRPr="00EF739F">
                    <w:rPr>
                      <w:rFonts w:ascii="Aptos" w:hAnsi="Aptos"/>
                    </w:rPr>
                    <w:t>North Dakota has focused heavily on stakeholder engagement through multiple focus groups</w:t>
                  </w:r>
                  <w:r>
                    <w:rPr>
                      <w:rFonts w:ascii="Aptos" w:hAnsi="Aptos"/>
                    </w:rPr>
                    <w:t xml:space="preserve"> including </w:t>
                  </w:r>
                  <w:r w:rsidRPr="00EF739F">
                    <w:rPr>
                      <w:rFonts w:ascii="Aptos" w:hAnsi="Aptos"/>
                    </w:rPr>
                    <w:t>families, prenatal patients, and providers. While response numbers were modest, participants were highly engaged.</w:t>
                  </w:r>
                </w:p>
                <w:p w14:paraId="21EB5A42" w14:textId="77777777" w:rsidR="00634699" w:rsidRDefault="00634699" w:rsidP="00F66BB0">
                  <w:pPr>
                    <w:rPr>
                      <w:rFonts w:ascii="Aptos" w:hAnsi="Aptos"/>
                    </w:rPr>
                  </w:pPr>
                </w:p>
                <w:p w14:paraId="5CF26267" w14:textId="77777777" w:rsidR="00634699" w:rsidRDefault="00634699" w:rsidP="00F66BB0">
                  <w:pPr>
                    <w:keepNext/>
                    <w:keepLines/>
                    <w:spacing w:before="200" w:after="0"/>
                    <w:ind w:left="720"/>
                    <w:outlineLvl w:val="3"/>
                    <w:rPr>
                      <w:rFonts w:ascii="Aptos" w:eastAsiaTheme="majorEastAsia" w:hAnsi="Aptos" w:cstheme="majorBidi"/>
                      <w:b/>
                      <w:bCs/>
                      <w:i/>
                      <w:iCs/>
                      <w:color w:val="77206D" w:themeColor="accent5" w:themeShade="BF"/>
                    </w:rPr>
                  </w:pPr>
                </w:p>
                <w:p w14:paraId="59B5EDBF" w14:textId="77777777" w:rsidR="00634699" w:rsidRPr="00EF739F" w:rsidRDefault="00634699" w:rsidP="00F66BB0">
                  <w:pPr>
                    <w:keepNext/>
                    <w:keepLines/>
                    <w:spacing w:before="200" w:after="0"/>
                    <w:ind w:left="720"/>
                    <w:outlineLvl w:val="3"/>
                    <w:rPr>
                      <w:rFonts w:ascii="Aptos" w:eastAsiaTheme="majorEastAsia" w:hAnsi="Aptos" w:cstheme="majorBidi"/>
                      <w:b/>
                      <w:bCs/>
                      <w:i/>
                      <w:iCs/>
                      <w:color w:val="77206D" w:themeColor="accent5" w:themeShade="BF"/>
                    </w:rPr>
                  </w:pPr>
                  <w:r w:rsidRPr="00EF739F">
                    <w:rPr>
                      <w:rFonts w:ascii="Aptos" w:eastAsiaTheme="majorEastAsia" w:hAnsi="Aptos" w:cstheme="majorBidi"/>
                      <w:b/>
                      <w:bCs/>
                      <w:i/>
                      <w:iCs/>
                      <w:color w:val="77206D" w:themeColor="accent5" w:themeShade="BF"/>
                    </w:rPr>
                    <w:t>Key Themes</w:t>
                  </w:r>
                </w:p>
                <w:p w14:paraId="336E9A8B" w14:textId="77777777" w:rsidR="00634699" w:rsidRPr="00EF739F" w:rsidRDefault="00634699" w:rsidP="00F66BB0">
                  <w:pPr>
                    <w:ind w:left="720"/>
                    <w:rPr>
                      <w:rFonts w:ascii="Aptos" w:hAnsi="Aptos"/>
                    </w:rPr>
                  </w:pPr>
                  <w:r w:rsidRPr="00EF739F">
                    <w:rPr>
                      <w:rFonts w:ascii="Aptos" w:hAnsi="Aptos"/>
                    </w:rPr>
                    <w:t>Consistency in the look and feel of materials, preference for second-trimester education, printed and digital material needs, partnerships with other prenatal education programs, and importance of welcoming messaging.</w:t>
                  </w:r>
                </w:p>
                <w:p w14:paraId="352B9E63" w14:textId="77777777" w:rsidR="00634699" w:rsidRPr="00EF739F" w:rsidRDefault="00634699" w:rsidP="00F66BB0">
                  <w:pPr>
                    <w:keepNext/>
                    <w:keepLines/>
                    <w:spacing w:before="200" w:after="0"/>
                    <w:ind w:left="720"/>
                    <w:outlineLvl w:val="3"/>
                    <w:rPr>
                      <w:rFonts w:ascii="Aptos" w:eastAsiaTheme="majorEastAsia" w:hAnsi="Aptos" w:cstheme="majorBidi"/>
                      <w:b/>
                      <w:bCs/>
                      <w:i/>
                      <w:iCs/>
                      <w:color w:val="77206D" w:themeColor="accent5" w:themeShade="BF"/>
                    </w:rPr>
                  </w:pPr>
                  <w:r w:rsidRPr="00EF739F">
                    <w:rPr>
                      <w:rFonts w:ascii="Aptos" w:eastAsiaTheme="majorEastAsia" w:hAnsi="Aptos" w:cstheme="majorBidi"/>
                      <w:b/>
                      <w:bCs/>
                      <w:i/>
                      <w:iCs/>
                      <w:color w:val="77206D" w:themeColor="accent5" w:themeShade="BF"/>
                    </w:rPr>
                    <w:t>Resources Developed</w:t>
                  </w:r>
                </w:p>
                <w:p w14:paraId="65681846" w14:textId="77777777" w:rsidR="00634699" w:rsidRPr="00EF739F" w:rsidRDefault="00634699" w:rsidP="00F66BB0">
                  <w:pPr>
                    <w:ind w:left="720"/>
                    <w:rPr>
                      <w:rFonts w:ascii="Aptos" w:hAnsi="Aptos"/>
                    </w:rPr>
                  </w:pPr>
                  <w:r w:rsidRPr="00EF739F">
                    <w:rPr>
                      <w:rFonts w:ascii="Aptos" w:hAnsi="Aptos"/>
                    </w:rPr>
                    <w:t>A brochure explaining the differences between prenatal screening and NBS including testimonials. Educational videos for families and providers (expected April 2026), with provider videos incorporating parent-guided communication tips.</w:t>
                  </w:r>
                </w:p>
                <w:p w14:paraId="11C44886" w14:textId="3B40C25C" w:rsidR="000F77F0" w:rsidRPr="000F77F0" w:rsidRDefault="00634699" w:rsidP="000F77F0">
                  <w:pPr>
                    <w:spacing w:after="0" w:line="240" w:lineRule="auto"/>
                    <w:rPr>
                      <w:rFonts w:ascii="Aptos" w:hAnsi="Aptos" w:cs="Arial"/>
                      <w:b/>
                      <w:bCs/>
                      <w:color w:val="77206D"/>
                    </w:rPr>
                  </w:pPr>
                  <w:r w:rsidRPr="00EF739F">
                    <w:rPr>
                      <w:rFonts w:ascii="Aptos" w:eastAsiaTheme="majorEastAsia" w:hAnsi="Aptos" w:cstheme="majorBidi"/>
                      <w:b/>
                      <w:bCs/>
                      <w:color w:val="77206D" w:themeColor="accent5" w:themeShade="BF"/>
                    </w:rPr>
                    <w:t>Oregon</w:t>
                  </w:r>
                  <w:r w:rsidR="000F77F0">
                    <w:rPr>
                      <w:rFonts w:ascii="Aptos" w:eastAsiaTheme="majorEastAsia" w:hAnsi="Aptos" w:cstheme="majorBidi"/>
                      <w:b/>
                      <w:bCs/>
                      <w:color w:val="77206D" w:themeColor="accent5" w:themeShade="BF"/>
                    </w:rPr>
                    <w:t xml:space="preserve"> </w:t>
                  </w:r>
                  <w:r w:rsidR="000F77F0" w:rsidRPr="000F77F0">
                    <w:rPr>
                      <w:rFonts w:ascii="Aptos" w:eastAsiaTheme="majorEastAsia" w:hAnsi="Aptos" w:cstheme="majorBidi"/>
                      <w:b/>
                      <w:bCs/>
                      <w:color w:val="77206D"/>
                    </w:rPr>
                    <w:t>(</w:t>
                  </w:r>
                  <w:r w:rsidR="000F77F0" w:rsidRPr="000F77F0">
                    <w:rPr>
                      <w:rFonts w:ascii="Aptos" w:hAnsi="Aptos" w:cs="Arial"/>
                      <w:b/>
                      <w:bCs/>
                      <w:color w:val="77206D"/>
                    </w:rPr>
                    <w:t>Jacqui Umstead, BSN, RN, Public Health Nurse, Oregon State Public Health Laboratory)</w:t>
                  </w:r>
                </w:p>
                <w:p w14:paraId="2882C15D" w14:textId="77777777" w:rsidR="000F77F0" w:rsidRDefault="000F77F0" w:rsidP="000F77F0">
                  <w:pPr>
                    <w:spacing w:after="0" w:line="240" w:lineRule="auto"/>
                    <w:rPr>
                      <w:rFonts w:ascii="Aptos" w:eastAsia="Times New Roman" w:hAnsi="Aptos" w:cs="Arial"/>
                      <w:color w:val="000000"/>
                    </w:rPr>
                  </w:pPr>
                </w:p>
                <w:p w14:paraId="4E6C6802" w14:textId="321EF939" w:rsidR="00634699" w:rsidRPr="00EF739F" w:rsidRDefault="00634699" w:rsidP="00F66BB0">
                  <w:pPr>
                    <w:rPr>
                      <w:rFonts w:ascii="Aptos" w:hAnsi="Aptos"/>
                    </w:rPr>
                  </w:pPr>
                  <w:r w:rsidRPr="00EF739F">
                    <w:rPr>
                      <w:rFonts w:ascii="Aptos" w:hAnsi="Aptos"/>
                    </w:rPr>
                    <w:t xml:space="preserve">Oregon, a two-screen state, developed a family-centered </w:t>
                  </w:r>
                  <w:hyperlink r:id="rId8" w:history="1">
                    <w:r w:rsidRPr="00EF739F">
                      <w:rPr>
                        <w:rStyle w:val="Hyperlink"/>
                        <w:rFonts w:ascii="Aptos" w:hAnsi="Aptos"/>
                      </w:rPr>
                      <w:t>NBS video</w:t>
                    </w:r>
                  </w:hyperlink>
                  <w:r w:rsidRPr="00EF739F">
                    <w:rPr>
                      <w:rFonts w:ascii="Aptos" w:hAnsi="Aptos"/>
                    </w:rPr>
                    <w:t xml:space="preserve"> launched during NBS Awareness Month in September. The video includes a local family story and is shared widely including through brochures, press releases, childbirth educators, and organizations like</w:t>
                  </w:r>
                  <w:r>
                    <w:rPr>
                      <w:rFonts w:ascii="Aptos" w:hAnsi="Aptos"/>
                    </w:rPr>
                    <w:t xml:space="preserve"> Women, Infants, and Children</w:t>
                  </w:r>
                  <w:r w:rsidRPr="00EF739F">
                    <w:rPr>
                      <w:rFonts w:ascii="Aptos" w:hAnsi="Aptos"/>
                    </w:rPr>
                    <w:t xml:space="preserve"> </w:t>
                  </w:r>
                  <w:r>
                    <w:rPr>
                      <w:rFonts w:ascii="Aptos" w:hAnsi="Aptos"/>
                    </w:rPr>
                    <w:t>(</w:t>
                  </w:r>
                  <w:r w:rsidRPr="00EF739F">
                    <w:rPr>
                      <w:rFonts w:ascii="Aptos" w:hAnsi="Aptos"/>
                    </w:rPr>
                    <w:t>WIC</w:t>
                  </w:r>
                  <w:r>
                    <w:rPr>
                      <w:rFonts w:ascii="Aptos" w:hAnsi="Aptos"/>
                    </w:rPr>
                    <w:t>)</w:t>
                  </w:r>
                  <w:r w:rsidRPr="00EF739F">
                    <w:rPr>
                      <w:rFonts w:ascii="Aptos" w:hAnsi="Aptos"/>
                    </w:rPr>
                    <w:t xml:space="preserve"> and the National Society of Genetic Counselors.</w:t>
                  </w:r>
                </w:p>
                <w:p w14:paraId="2FDEEF51" w14:textId="77777777" w:rsidR="00634699" w:rsidRPr="00EF739F" w:rsidRDefault="00634699" w:rsidP="00F66BB0">
                  <w:pPr>
                    <w:keepNext/>
                    <w:keepLines/>
                    <w:spacing w:before="200" w:after="0"/>
                    <w:ind w:left="720"/>
                    <w:outlineLvl w:val="3"/>
                    <w:rPr>
                      <w:rFonts w:ascii="Aptos" w:eastAsiaTheme="majorEastAsia" w:hAnsi="Aptos" w:cstheme="majorBidi"/>
                      <w:b/>
                      <w:bCs/>
                      <w:i/>
                      <w:iCs/>
                      <w:color w:val="77206D" w:themeColor="accent5" w:themeShade="BF"/>
                    </w:rPr>
                  </w:pPr>
                  <w:r w:rsidRPr="00EF739F">
                    <w:rPr>
                      <w:rFonts w:ascii="Aptos" w:eastAsiaTheme="majorEastAsia" w:hAnsi="Aptos" w:cstheme="majorBidi"/>
                      <w:b/>
                      <w:bCs/>
                      <w:i/>
                      <w:iCs/>
                      <w:color w:val="77206D" w:themeColor="accent5" w:themeShade="BF"/>
                    </w:rPr>
                    <w:t>Next Steps</w:t>
                  </w:r>
                </w:p>
                <w:p w14:paraId="168FC10F" w14:textId="02E8D473" w:rsidR="00634699" w:rsidRPr="00EF739F" w:rsidRDefault="00634699" w:rsidP="00F66BB0">
                  <w:pPr>
                    <w:ind w:left="720"/>
                    <w:rPr>
                      <w:rFonts w:ascii="Aptos" w:hAnsi="Aptos"/>
                    </w:rPr>
                  </w:pPr>
                  <w:r w:rsidRPr="00EF739F">
                    <w:rPr>
                      <w:rFonts w:ascii="Aptos" w:hAnsi="Aptos"/>
                    </w:rPr>
                    <w:t>Oregon plans to target OB-GYNs next and ensure</w:t>
                  </w:r>
                  <w:r w:rsidR="00121628">
                    <w:rPr>
                      <w:rFonts w:ascii="Aptos" w:hAnsi="Aptos"/>
                    </w:rPr>
                    <w:t xml:space="preserve"> future training</w:t>
                  </w:r>
                  <w:r w:rsidRPr="00EF739F">
                    <w:rPr>
                      <w:rFonts w:ascii="Aptos" w:hAnsi="Aptos"/>
                    </w:rPr>
                    <w:t xml:space="preserve"> materials undergo child-safety review to avoid images of unsafe sleep practices.</w:t>
                  </w:r>
                </w:p>
                <w:p w14:paraId="23EE0CA1" w14:textId="77777777" w:rsidR="00634699" w:rsidRPr="00EF739F" w:rsidRDefault="00634699" w:rsidP="00F66BB0">
                  <w:pPr>
                    <w:keepNext/>
                    <w:keepLines/>
                    <w:spacing w:before="200" w:after="0"/>
                    <w:outlineLvl w:val="1"/>
                    <w:rPr>
                      <w:rFonts w:ascii="Aptos" w:eastAsiaTheme="majorEastAsia" w:hAnsi="Aptos" w:cstheme="majorBidi"/>
                      <w:b/>
                      <w:bCs/>
                      <w:color w:val="8E4585"/>
                    </w:rPr>
                  </w:pPr>
                  <w:r w:rsidRPr="00EF739F">
                    <w:rPr>
                      <w:rFonts w:ascii="Aptos" w:eastAsiaTheme="majorEastAsia" w:hAnsi="Aptos" w:cstheme="majorBidi"/>
                      <w:b/>
                      <w:bCs/>
                      <w:color w:val="8E4585"/>
                    </w:rPr>
                    <w:t>Themes in Standardization Discussion</w:t>
                  </w:r>
                </w:p>
                <w:p w14:paraId="7E674E75" w14:textId="77777777" w:rsidR="00634699" w:rsidRDefault="00634699" w:rsidP="00F66BB0">
                  <w:pPr>
                    <w:rPr>
                      <w:rFonts w:ascii="Aptos" w:hAnsi="Aptos"/>
                    </w:rPr>
                  </w:pPr>
                  <w:r w:rsidRPr="00EF739F">
                    <w:rPr>
                      <w:rFonts w:ascii="Aptos" w:hAnsi="Aptos"/>
                    </w:rPr>
                    <w:t>States expressed interest in a unified national prenatal NBS education campaign, emphasizing consistent messaging, media-based outreach, clear explanations of NBS</w:t>
                  </w:r>
                  <w:r>
                    <w:rPr>
                      <w:rFonts w:ascii="Aptos" w:hAnsi="Aptos"/>
                    </w:rPr>
                    <w:t xml:space="preserve"> and they “why” of NBS</w:t>
                  </w:r>
                  <w:r w:rsidRPr="00EF739F">
                    <w:rPr>
                      <w:rFonts w:ascii="Aptos" w:hAnsi="Aptos"/>
                    </w:rPr>
                    <w:t>, and differentiation between prenatal screening and NBS. Personal stories and laboratory visuals were also recommended.</w:t>
                  </w:r>
                  <w:r>
                    <w:rPr>
                      <w:rFonts w:ascii="Aptos" w:hAnsi="Aptos"/>
                    </w:rPr>
                    <w:t xml:space="preserve"> </w:t>
                  </w:r>
                  <w:r w:rsidRPr="008A6F07">
                    <w:rPr>
                      <w:rFonts w:ascii="Aptos" w:hAnsi="Aptos"/>
                    </w:rPr>
                    <w:t>Baby’s First Test offers a strong model for standardizing core NBS messaging.</w:t>
                  </w:r>
                </w:p>
                <w:p w14:paraId="5C39D3C4" w14:textId="77777777" w:rsidR="00634699" w:rsidRDefault="00634699" w:rsidP="00F66BB0">
                  <w:pPr>
                    <w:keepNext/>
                    <w:keepLines/>
                    <w:spacing w:before="200" w:after="0"/>
                    <w:outlineLvl w:val="1"/>
                    <w:rPr>
                      <w:rFonts w:ascii="Aptos" w:eastAsiaTheme="majorEastAsia" w:hAnsi="Aptos" w:cstheme="majorBidi"/>
                      <w:b/>
                      <w:bCs/>
                      <w:color w:val="8E4585"/>
                    </w:rPr>
                  </w:pPr>
                  <w:r>
                    <w:rPr>
                      <w:rFonts w:ascii="Aptos" w:eastAsiaTheme="majorEastAsia" w:hAnsi="Aptos" w:cstheme="majorBidi"/>
                      <w:b/>
                      <w:bCs/>
                      <w:color w:val="8E4585"/>
                    </w:rPr>
                    <w:t xml:space="preserve">Additional State Highlights: </w:t>
                  </w:r>
                </w:p>
                <w:p w14:paraId="317DEA62" w14:textId="77777777" w:rsidR="00634699" w:rsidRPr="008A6F07" w:rsidRDefault="00634699" w:rsidP="00F66BB0">
                  <w:pPr>
                    <w:spacing w:after="0" w:line="240" w:lineRule="auto"/>
                    <w:rPr>
                      <w:rFonts w:ascii="Aptos" w:hAnsi="Aptos"/>
                      <w:b/>
                      <w:bCs/>
                      <w:color w:val="77206D" w:themeColor="accent5" w:themeShade="BF"/>
                    </w:rPr>
                  </w:pPr>
                  <w:r w:rsidRPr="008A6F07">
                    <w:rPr>
                      <w:rFonts w:ascii="Aptos" w:hAnsi="Aptos"/>
                      <w:b/>
                      <w:bCs/>
                      <w:color w:val="77206D" w:themeColor="accent5" w:themeShade="BF"/>
                    </w:rPr>
                    <w:t>Michigan</w:t>
                  </w:r>
                </w:p>
                <w:p w14:paraId="469585D2"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The Michigan Department of Health and Human Services (MDHHS) provides free NBS materials.</w:t>
                  </w:r>
                </w:p>
                <w:p w14:paraId="713BA96B"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A nurse-led prenatal class is offered at no cost to patients delivering at their facility, supported by a local SDOH grant.</w:t>
                  </w:r>
                </w:p>
                <w:p w14:paraId="18DF6FCD"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Connecticut</w:t>
                  </w:r>
                </w:p>
                <w:p w14:paraId="4ED0BDC0" w14:textId="77777777" w:rsidR="00634699" w:rsidRDefault="00634699" w:rsidP="00634699">
                  <w:pPr>
                    <w:pStyle w:val="ListParagraph"/>
                    <w:numPr>
                      <w:ilvl w:val="0"/>
                      <w:numId w:val="1"/>
                    </w:numPr>
                    <w:spacing w:after="0" w:line="240" w:lineRule="auto"/>
                    <w:rPr>
                      <w:rFonts w:ascii="Aptos" w:hAnsi="Aptos"/>
                    </w:rPr>
                  </w:pPr>
                  <w:r w:rsidRPr="008A6F07">
                    <w:rPr>
                      <w:rFonts w:ascii="Aptos" w:hAnsi="Aptos"/>
                    </w:rPr>
                    <w:lastRenderedPageBreak/>
                    <w:t>Actively meeting with childbirth educators to encourage inclusion of NBS education in prenatal classes.</w:t>
                  </w:r>
                </w:p>
                <w:p w14:paraId="390C4405" w14:textId="77777777" w:rsidR="00634699" w:rsidRDefault="00634699" w:rsidP="00F66BB0">
                  <w:pPr>
                    <w:spacing w:after="0" w:line="240" w:lineRule="auto"/>
                    <w:rPr>
                      <w:rFonts w:ascii="Aptos" w:hAnsi="Aptos"/>
                    </w:rPr>
                  </w:pPr>
                </w:p>
                <w:p w14:paraId="204E1B82" w14:textId="77777777" w:rsidR="00634699" w:rsidRPr="008A6F07" w:rsidRDefault="00634699" w:rsidP="00F66BB0">
                  <w:pPr>
                    <w:spacing w:after="0" w:line="240" w:lineRule="auto"/>
                    <w:rPr>
                      <w:rFonts w:ascii="Aptos" w:hAnsi="Aptos"/>
                      <w:b/>
                      <w:bCs/>
                      <w:color w:val="77206D" w:themeColor="accent5" w:themeShade="BF"/>
                    </w:rPr>
                  </w:pPr>
                  <w:r w:rsidRPr="008A6F07">
                    <w:rPr>
                      <w:rFonts w:ascii="Aptos" w:hAnsi="Aptos"/>
                      <w:b/>
                      <w:bCs/>
                      <w:color w:val="77206D" w:themeColor="accent5" w:themeShade="BF"/>
                    </w:rPr>
                    <w:t>California</w:t>
                  </w:r>
                </w:p>
                <w:p w14:paraId="6F820591"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State regulations require OB/GYN providers to share “important information for parents about newborn screening” during the third trimester.</w:t>
                  </w:r>
                </w:p>
                <w:p w14:paraId="6A1C867B" w14:textId="77777777" w:rsidR="00634699" w:rsidRPr="008A6F07" w:rsidRDefault="00634699" w:rsidP="00F66BB0">
                  <w:pPr>
                    <w:spacing w:after="0" w:line="240" w:lineRule="auto"/>
                    <w:rPr>
                      <w:rFonts w:ascii="Aptos" w:hAnsi="Aptos"/>
                    </w:rPr>
                  </w:pPr>
                </w:p>
                <w:p w14:paraId="636011CB" w14:textId="77777777" w:rsidR="00634699" w:rsidRPr="008A6F07" w:rsidRDefault="00634699" w:rsidP="00F66BB0">
                  <w:pPr>
                    <w:spacing w:after="0" w:line="240" w:lineRule="auto"/>
                    <w:rPr>
                      <w:rFonts w:ascii="Aptos" w:hAnsi="Aptos"/>
                      <w:b/>
                      <w:bCs/>
                    </w:rPr>
                  </w:pPr>
                  <w:r w:rsidRPr="008A6F07">
                    <w:rPr>
                      <w:rFonts w:ascii="Aptos" w:hAnsi="Aptos"/>
                      <w:b/>
                      <w:bCs/>
                      <w:color w:val="77206D" w:themeColor="accent5" w:themeShade="BF"/>
                    </w:rPr>
                    <w:t>Kansas</w:t>
                  </w:r>
                </w:p>
                <w:p w14:paraId="77979546"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 xml:space="preserve">Uses an all-encompassing approach through the </w:t>
                  </w:r>
                  <w:hyperlink r:id="rId9" w:history="1">
                    <w:r w:rsidRPr="008A6F07">
                      <w:rPr>
                        <w:rStyle w:val="Hyperlink"/>
                        <w:rFonts w:ascii="Aptos" w:hAnsi="Aptos"/>
                      </w:rPr>
                      <w:t>Guide to Kansas Family Supports brochure</w:t>
                    </w:r>
                  </w:hyperlink>
                  <w:r w:rsidRPr="008A6F07">
                    <w:rPr>
                      <w:rFonts w:ascii="Aptos" w:hAnsi="Aptos"/>
                    </w:rPr>
                    <w:t>, which includes:</w:t>
                  </w:r>
                </w:p>
                <w:p w14:paraId="0D469A4A"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Prenatal programs (e.g., WIC, KanCare)</w:t>
                  </w:r>
                </w:p>
                <w:p w14:paraId="6899C619"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Post-birth programs (NBS, breastfeeding, safe sleep, Safe Kids, and others)</w:t>
                  </w:r>
                </w:p>
                <w:p w14:paraId="6E519647"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Distributed widely to hospitals, midwives, health fairs, and community baby showers.</w:t>
                  </w:r>
                </w:p>
                <w:p w14:paraId="4AFF22E5" w14:textId="77777777" w:rsidR="00634699" w:rsidRDefault="00634699" w:rsidP="00634699">
                  <w:pPr>
                    <w:pStyle w:val="ListParagraph"/>
                    <w:numPr>
                      <w:ilvl w:val="0"/>
                      <w:numId w:val="1"/>
                    </w:numPr>
                    <w:spacing w:after="0" w:line="240" w:lineRule="auto"/>
                    <w:rPr>
                      <w:rFonts w:ascii="Aptos" w:hAnsi="Aptos"/>
                    </w:rPr>
                  </w:pPr>
                  <w:r>
                    <w:rPr>
                      <w:rFonts w:ascii="Aptos" w:hAnsi="Aptos"/>
                    </w:rPr>
                    <w:t xml:space="preserve">Postcard Pilot </w:t>
                  </w:r>
                </w:p>
                <w:p w14:paraId="38EA83D5" w14:textId="77777777" w:rsidR="00634699" w:rsidRPr="008A6F07" w:rsidRDefault="00634699" w:rsidP="00634699">
                  <w:pPr>
                    <w:pStyle w:val="ListParagraph"/>
                    <w:numPr>
                      <w:ilvl w:val="1"/>
                      <w:numId w:val="1"/>
                    </w:numPr>
                    <w:spacing w:after="0" w:line="240" w:lineRule="auto"/>
                    <w:rPr>
                      <w:rFonts w:ascii="Aptos" w:hAnsi="Aptos"/>
                    </w:rPr>
                  </w:pPr>
                  <w:r w:rsidRPr="008A6F07">
                    <w:rPr>
                      <w:rFonts w:ascii="Aptos" w:hAnsi="Aptos"/>
                    </w:rPr>
                    <w:t>Conducted a test mailing of postcards to 5,000 new mothers.</w:t>
                  </w:r>
                </w:p>
                <w:p w14:paraId="17D057A6" w14:textId="77777777" w:rsidR="00634699" w:rsidRPr="008A6F07" w:rsidRDefault="00634699" w:rsidP="00634699">
                  <w:pPr>
                    <w:pStyle w:val="ListParagraph"/>
                    <w:numPr>
                      <w:ilvl w:val="1"/>
                      <w:numId w:val="1"/>
                    </w:numPr>
                    <w:spacing w:after="0" w:line="240" w:lineRule="auto"/>
                    <w:rPr>
                      <w:rFonts w:ascii="Aptos" w:hAnsi="Aptos"/>
                    </w:rPr>
                  </w:pPr>
                  <w:r w:rsidRPr="008A6F07">
                    <w:rPr>
                      <w:rFonts w:ascii="Aptos" w:hAnsi="Aptos"/>
                    </w:rPr>
                    <w:t xml:space="preserve">Postcards linked to a </w:t>
                  </w:r>
                  <w:hyperlink r:id="rId10" w:history="1">
                    <w:r w:rsidRPr="008A6F07">
                      <w:rPr>
                        <w:rStyle w:val="Hyperlink"/>
                        <w:rFonts w:ascii="Aptos" w:hAnsi="Aptos"/>
                      </w:rPr>
                      <w:t>“Welcoming Kansas Babies” webpage</w:t>
                    </w:r>
                  </w:hyperlink>
                  <w:r w:rsidRPr="008A6F07">
                    <w:rPr>
                      <w:rFonts w:ascii="Aptos" w:hAnsi="Aptos"/>
                    </w:rPr>
                    <w:t xml:space="preserve"> containing multiple family support programs, each with short descriptions and website links.</w:t>
                  </w:r>
                </w:p>
                <w:p w14:paraId="2EBF49E8" w14:textId="77777777" w:rsidR="00634699" w:rsidRPr="008A6F07" w:rsidRDefault="00634699" w:rsidP="00634699">
                  <w:pPr>
                    <w:pStyle w:val="ListParagraph"/>
                    <w:numPr>
                      <w:ilvl w:val="1"/>
                      <w:numId w:val="1"/>
                    </w:numPr>
                    <w:spacing w:after="0" w:line="240" w:lineRule="auto"/>
                    <w:rPr>
                      <w:rFonts w:ascii="Aptos" w:hAnsi="Aptos"/>
                    </w:rPr>
                  </w:pPr>
                  <w:r w:rsidRPr="008A6F07">
                    <w:rPr>
                      <w:rFonts w:ascii="Aptos" w:hAnsi="Aptos"/>
                    </w:rPr>
                    <w:t>Tracking website pageviews and click-throughs to measure engagement.</w:t>
                  </w:r>
                </w:p>
                <w:p w14:paraId="7B831182" w14:textId="77777777" w:rsidR="00634699" w:rsidRPr="008A6F07" w:rsidRDefault="00634699" w:rsidP="00634699">
                  <w:pPr>
                    <w:pStyle w:val="ListParagraph"/>
                    <w:numPr>
                      <w:ilvl w:val="1"/>
                      <w:numId w:val="1"/>
                    </w:numPr>
                    <w:spacing w:after="0" w:line="240" w:lineRule="auto"/>
                    <w:rPr>
                      <w:rFonts w:ascii="Aptos" w:hAnsi="Aptos"/>
                    </w:rPr>
                  </w:pPr>
                  <w:r w:rsidRPr="008A6F07">
                    <w:rPr>
                      <w:rFonts w:ascii="Aptos" w:hAnsi="Aptos"/>
                    </w:rPr>
                    <w:t>Due to strong success, Kansas plans to expand postcard mailings to all new mothers starting in 2026.</w:t>
                  </w:r>
                </w:p>
                <w:p w14:paraId="6E43AC53" w14:textId="77777777" w:rsidR="00634699" w:rsidRPr="008A6F07" w:rsidRDefault="00634699" w:rsidP="00F66BB0">
                  <w:pPr>
                    <w:spacing w:after="0" w:line="240" w:lineRule="auto"/>
                    <w:rPr>
                      <w:rFonts w:ascii="Aptos" w:hAnsi="Aptos"/>
                    </w:rPr>
                  </w:pPr>
                </w:p>
                <w:p w14:paraId="3536CEFC" w14:textId="77777777" w:rsidR="00634699" w:rsidRPr="008A6F07" w:rsidRDefault="00634699" w:rsidP="00F66BB0">
                  <w:pPr>
                    <w:spacing w:after="0" w:line="240" w:lineRule="auto"/>
                    <w:rPr>
                      <w:rFonts w:ascii="Aptos" w:hAnsi="Aptos"/>
                      <w:b/>
                      <w:bCs/>
                      <w:color w:val="77206D" w:themeColor="accent5" w:themeShade="BF"/>
                    </w:rPr>
                  </w:pPr>
                  <w:r w:rsidRPr="008A6F07">
                    <w:rPr>
                      <w:rFonts w:ascii="Aptos" w:hAnsi="Aptos"/>
                      <w:b/>
                      <w:bCs/>
                      <w:color w:val="77206D" w:themeColor="accent5" w:themeShade="BF"/>
                    </w:rPr>
                    <w:t>Wisconsin</w:t>
                  </w:r>
                </w:p>
                <w:p w14:paraId="12AF6381"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 xml:space="preserve">Provides free, shareable </w:t>
                  </w:r>
                  <w:hyperlink r:id="rId11" w:history="1">
                    <w:r w:rsidRPr="008A6F07">
                      <w:rPr>
                        <w:rStyle w:val="Hyperlink"/>
                        <w:rFonts w:ascii="Aptos" w:hAnsi="Aptos"/>
                      </w:rPr>
                      <w:t>NBS factsheets</w:t>
                    </w:r>
                  </w:hyperlink>
                  <w:r w:rsidRPr="008A6F07">
                    <w:rPr>
                      <w:rFonts w:ascii="Aptos" w:hAnsi="Aptos"/>
                    </w:rPr>
                    <w:t xml:space="preserve"> available through </w:t>
                  </w:r>
                  <w:r>
                    <w:rPr>
                      <w:rFonts w:ascii="Aptos" w:hAnsi="Aptos"/>
                    </w:rPr>
                    <w:t>the Wisconsin Department of Health</w:t>
                  </w:r>
                  <w:r w:rsidRPr="008A6F07">
                    <w:rPr>
                      <w:rFonts w:ascii="Aptos" w:hAnsi="Aptos"/>
                    </w:rPr>
                    <w:t>.</w:t>
                  </w:r>
                </w:p>
                <w:p w14:paraId="6D890A0D"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They are hosted under the NBS “accounts” section (expand the accordion to access).</w:t>
                  </w:r>
                </w:p>
                <w:p w14:paraId="3D538BC9"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Current challenge: identifying effective distribution channels for prenatal educators and determining how to measure impact.</w:t>
                  </w:r>
                </w:p>
                <w:p w14:paraId="4926699F" w14:textId="77777777" w:rsidR="00634699" w:rsidRPr="008A6F07" w:rsidRDefault="00634699" w:rsidP="00F66BB0">
                  <w:pPr>
                    <w:spacing w:after="0" w:line="240" w:lineRule="auto"/>
                    <w:rPr>
                      <w:rFonts w:ascii="Aptos" w:hAnsi="Aptos"/>
                    </w:rPr>
                  </w:pPr>
                </w:p>
                <w:p w14:paraId="61AEDD2A" w14:textId="77777777" w:rsidR="00634699" w:rsidRPr="008A6F07" w:rsidRDefault="00634699" w:rsidP="00F66BB0">
                  <w:pPr>
                    <w:spacing w:after="0" w:line="240" w:lineRule="auto"/>
                    <w:rPr>
                      <w:rFonts w:ascii="Aptos" w:hAnsi="Aptos"/>
                      <w:b/>
                      <w:bCs/>
                      <w:color w:val="77206D" w:themeColor="accent5" w:themeShade="BF"/>
                    </w:rPr>
                  </w:pPr>
                  <w:r w:rsidRPr="008A6F07">
                    <w:rPr>
                      <w:rFonts w:ascii="Aptos" w:hAnsi="Aptos"/>
                      <w:b/>
                      <w:bCs/>
                      <w:color w:val="77206D" w:themeColor="accent5" w:themeShade="BF"/>
                    </w:rPr>
                    <w:t>Colorado</w:t>
                  </w:r>
                </w:p>
                <w:p w14:paraId="0C677D63"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Sends “prenatal packets” to six birthing facilities, including:</w:t>
                  </w:r>
                </w:p>
                <w:p w14:paraId="7941EC5E" w14:textId="77777777" w:rsidR="00634699" w:rsidRPr="008A6F07" w:rsidRDefault="00634699" w:rsidP="00634699">
                  <w:pPr>
                    <w:pStyle w:val="ListParagraph"/>
                    <w:numPr>
                      <w:ilvl w:val="1"/>
                      <w:numId w:val="1"/>
                    </w:numPr>
                    <w:spacing w:after="0" w:line="240" w:lineRule="auto"/>
                    <w:rPr>
                      <w:rFonts w:ascii="Aptos" w:hAnsi="Aptos"/>
                    </w:rPr>
                  </w:pPr>
                  <w:r w:rsidRPr="008A6F07">
                    <w:rPr>
                      <w:rFonts w:ascii="Aptos" w:hAnsi="Aptos"/>
                    </w:rPr>
                    <w:t>A one-page overview of all conditions on their panel with a QR code linking to an interactive flipbook</w:t>
                  </w:r>
                </w:p>
                <w:p w14:paraId="7115D532" w14:textId="77777777" w:rsidR="00634699" w:rsidRPr="008A6F07" w:rsidRDefault="00634699" w:rsidP="00634699">
                  <w:pPr>
                    <w:pStyle w:val="ListParagraph"/>
                    <w:numPr>
                      <w:ilvl w:val="1"/>
                      <w:numId w:val="1"/>
                    </w:numPr>
                    <w:spacing w:after="0" w:line="240" w:lineRule="auto"/>
                    <w:rPr>
                      <w:rFonts w:ascii="Aptos" w:hAnsi="Aptos"/>
                    </w:rPr>
                  </w:pPr>
                  <w:r w:rsidRPr="008A6F07">
                    <w:rPr>
                      <w:rFonts w:ascii="Aptos" w:hAnsi="Aptos"/>
                    </w:rPr>
                    <w:t>A comprehensive NBS educational brochure describing all three components of NBS, program contact information, and QR code access</w:t>
                  </w:r>
                </w:p>
                <w:p w14:paraId="6DA0D386"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Intended for distribution during hospital tours, prenatal classes, clinic visits, and after delivery.</w:t>
                  </w:r>
                </w:p>
                <w:p w14:paraId="4DDFBF54"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Beginning to incorporate family stories and planning to expand the initiative in 2026.</w:t>
                  </w:r>
                </w:p>
                <w:p w14:paraId="1BBBD8E7"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Partnering with a hospital system to implement MyChart messages about NBS during pregnancy and after birth.</w:t>
                  </w:r>
                </w:p>
                <w:p w14:paraId="107CD22A" w14:textId="77777777" w:rsidR="00634699" w:rsidRPr="008A6F07" w:rsidRDefault="00634699" w:rsidP="00F66BB0">
                  <w:pPr>
                    <w:spacing w:after="0" w:line="240" w:lineRule="auto"/>
                    <w:rPr>
                      <w:rFonts w:ascii="Aptos" w:hAnsi="Aptos"/>
                    </w:rPr>
                  </w:pPr>
                </w:p>
                <w:p w14:paraId="1F974A3C" w14:textId="77777777" w:rsidR="00634699" w:rsidRDefault="00634699" w:rsidP="00F66BB0">
                  <w:pPr>
                    <w:spacing w:after="0" w:line="240" w:lineRule="auto"/>
                    <w:rPr>
                      <w:rFonts w:ascii="Aptos" w:hAnsi="Aptos"/>
                      <w:b/>
                      <w:bCs/>
                      <w:color w:val="77206D" w:themeColor="accent5" w:themeShade="BF"/>
                    </w:rPr>
                  </w:pPr>
                </w:p>
                <w:p w14:paraId="0A07A363" w14:textId="77777777" w:rsidR="00634699" w:rsidRDefault="00634699" w:rsidP="00F66BB0">
                  <w:pPr>
                    <w:spacing w:after="0" w:line="240" w:lineRule="auto"/>
                    <w:rPr>
                      <w:rFonts w:ascii="Aptos" w:hAnsi="Aptos"/>
                      <w:b/>
                      <w:bCs/>
                      <w:color w:val="77206D" w:themeColor="accent5" w:themeShade="BF"/>
                    </w:rPr>
                  </w:pPr>
                </w:p>
                <w:p w14:paraId="6213BA4B" w14:textId="77777777" w:rsidR="00634699" w:rsidRDefault="00634699" w:rsidP="00F66BB0">
                  <w:pPr>
                    <w:spacing w:after="0" w:line="240" w:lineRule="auto"/>
                    <w:rPr>
                      <w:rFonts w:ascii="Aptos" w:hAnsi="Aptos"/>
                      <w:b/>
                      <w:bCs/>
                      <w:color w:val="77206D" w:themeColor="accent5" w:themeShade="BF"/>
                    </w:rPr>
                  </w:pPr>
                </w:p>
                <w:p w14:paraId="29DECB54" w14:textId="77777777" w:rsidR="00634699" w:rsidRPr="008A6F07" w:rsidRDefault="00634699" w:rsidP="00F66BB0">
                  <w:pPr>
                    <w:spacing w:after="0" w:line="240" w:lineRule="auto"/>
                    <w:rPr>
                      <w:rFonts w:ascii="Aptos" w:hAnsi="Aptos"/>
                      <w:b/>
                      <w:bCs/>
                      <w:color w:val="77206D" w:themeColor="accent5" w:themeShade="BF"/>
                    </w:rPr>
                  </w:pPr>
                  <w:r w:rsidRPr="008A6F07">
                    <w:rPr>
                      <w:rFonts w:ascii="Aptos" w:hAnsi="Aptos"/>
                      <w:b/>
                      <w:bCs/>
                      <w:color w:val="77206D" w:themeColor="accent5" w:themeShade="BF"/>
                    </w:rPr>
                    <w:t>North Dakota</w:t>
                  </w:r>
                </w:p>
                <w:p w14:paraId="632B278F"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Exploring MyChart messaging as well, including adding the family fact sheet currently sent to PCPs for presumptive positive results.</w:t>
                  </w:r>
                </w:p>
                <w:p w14:paraId="0999952F" w14:textId="77777777" w:rsidR="00634699" w:rsidRPr="008A6F07" w:rsidRDefault="00634699" w:rsidP="00634699">
                  <w:pPr>
                    <w:pStyle w:val="ListParagraph"/>
                    <w:numPr>
                      <w:ilvl w:val="1"/>
                      <w:numId w:val="1"/>
                    </w:numPr>
                    <w:spacing w:after="0" w:line="240" w:lineRule="auto"/>
                    <w:rPr>
                      <w:rFonts w:ascii="Aptos" w:hAnsi="Aptos"/>
                    </w:rPr>
                  </w:pPr>
                  <w:r w:rsidRPr="008A6F07">
                    <w:rPr>
                      <w:rFonts w:ascii="Aptos" w:hAnsi="Aptos"/>
                    </w:rPr>
                    <w:t>Goal: ensure families receive accurate information before the provider’s follow-up phone call.</w:t>
                  </w:r>
                </w:p>
                <w:p w14:paraId="63FCE5B1" w14:textId="77777777" w:rsidR="00634699" w:rsidRPr="008A6F07" w:rsidRDefault="00634699" w:rsidP="00634699">
                  <w:pPr>
                    <w:pStyle w:val="ListParagraph"/>
                    <w:numPr>
                      <w:ilvl w:val="1"/>
                      <w:numId w:val="1"/>
                    </w:numPr>
                    <w:spacing w:after="0" w:line="240" w:lineRule="auto"/>
                    <w:rPr>
                      <w:rFonts w:ascii="Aptos" w:hAnsi="Aptos"/>
                    </w:rPr>
                  </w:pPr>
                  <w:r w:rsidRPr="008A6F07">
                    <w:rPr>
                      <w:rFonts w:ascii="Aptos" w:hAnsi="Aptos"/>
                    </w:rPr>
                    <w:t>Assessing whether the fact sheet can be attached directly to the NBS results page sent from the laboratory.</w:t>
                  </w:r>
                </w:p>
                <w:p w14:paraId="7804AB49" w14:textId="77777777" w:rsidR="00634699" w:rsidRPr="008A6F07" w:rsidRDefault="00634699" w:rsidP="00F66BB0">
                  <w:pPr>
                    <w:spacing w:after="0" w:line="240" w:lineRule="auto"/>
                    <w:rPr>
                      <w:rFonts w:ascii="Aptos" w:hAnsi="Aptos"/>
                    </w:rPr>
                  </w:pPr>
                </w:p>
                <w:p w14:paraId="662C169D" w14:textId="77777777" w:rsidR="00634699" w:rsidRPr="00B93705" w:rsidRDefault="00634699" w:rsidP="00F66BB0">
                  <w:pPr>
                    <w:spacing w:after="0" w:line="240" w:lineRule="auto"/>
                    <w:rPr>
                      <w:rFonts w:ascii="Aptos" w:hAnsi="Aptos"/>
                      <w:b/>
                      <w:bCs/>
                      <w:color w:val="77206D" w:themeColor="accent5" w:themeShade="BF"/>
                    </w:rPr>
                  </w:pPr>
                  <w:r w:rsidRPr="008A6F07">
                    <w:rPr>
                      <w:rFonts w:ascii="Aptos" w:hAnsi="Aptos"/>
                      <w:b/>
                      <w:bCs/>
                      <w:color w:val="77206D" w:themeColor="accent5" w:themeShade="BF"/>
                    </w:rPr>
                    <w:t>Partnership Approaches</w:t>
                  </w:r>
                </w:p>
                <w:p w14:paraId="446C720E" w14:textId="77777777" w:rsidR="00634699" w:rsidRPr="008A6F07" w:rsidRDefault="00634699" w:rsidP="00F66BB0">
                  <w:pPr>
                    <w:spacing w:after="0" w:line="240" w:lineRule="auto"/>
                    <w:ind w:left="720"/>
                    <w:rPr>
                      <w:rFonts w:ascii="Aptos" w:hAnsi="Aptos"/>
                      <w:b/>
                      <w:bCs/>
                      <w:color w:val="77206D" w:themeColor="accent5" w:themeShade="BF"/>
                    </w:rPr>
                  </w:pPr>
                  <w:r w:rsidRPr="008A6F07">
                    <w:rPr>
                      <w:rFonts w:ascii="Aptos" w:hAnsi="Aptos"/>
                      <w:b/>
                      <w:bCs/>
                      <w:color w:val="77206D" w:themeColor="accent5" w:themeShade="BF"/>
                    </w:rPr>
                    <w:t>Tennessee</w:t>
                  </w:r>
                </w:p>
                <w:p w14:paraId="0F6067F1" w14:textId="77777777" w:rsidR="00634699" w:rsidRPr="008A6F07" w:rsidRDefault="00634699" w:rsidP="00634699">
                  <w:pPr>
                    <w:pStyle w:val="ListParagraph"/>
                    <w:numPr>
                      <w:ilvl w:val="0"/>
                      <w:numId w:val="1"/>
                    </w:numPr>
                    <w:spacing w:after="0" w:line="240" w:lineRule="auto"/>
                    <w:ind w:left="1440"/>
                    <w:rPr>
                      <w:rFonts w:ascii="Aptos" w:hAnsi="Aptos"/>
                    </w:rPr>
                  </w:pPr>
                  <w:r w:rsidRPr="008A6F07">
                    <w:rPr>
                      <w:rFonts w:ascii="Aptos" w:hAnsi="Aptos"/>
                    </w:rPr>
                    <w:t>Present</w:t>
                  </w:r>
                  <w:r>
                    <w:rPr>
                      <w:rFonts w:ascii="Aptos" w:hAnsi="Aptos"/>
                    </w:rPr>
                    <w:t xml:space="preserve">ing </w:t>
                  </w:r>
                  <w:r w:rsidRPr="008A6F07">
                    <w:rPr>
                      <w:rFonts w:ascii="Aptos" w:hAnsi="Aptos"/>
                    </w:rPr>
                    <w:t>NBS content at:</w:t>
                  </w:r>
                </w:p>
                <w:p w14:paraId="00804EC3" w14:textId="77777777" w:rsidR="00634699" w:rsidRPr="008A6F07" w:rsidRDefault="00634699" w:rsidP="00634699">
                  <w:pPr>
                    <w:pStyle w:val="ListParagraph"/>
                    <w:numPr>
                      <w:ilvl w:val="1"/>
                      <w:numId w:val="1"/>
                    </w:numPr>
                    <w:spacing w:after="0" w:line="240" w:lineRule="auto"/>
                    <w:ind w:left="2160"/>
                    <w:rPr>
                      <w:rFonts w:ascii="Aptos" w:hAnsi="Aptos"/>
                    </w:rPr>
                  </w:pPr>
                  <w:r w:rsidRPr="008A6F07">
                    <w:rPr>
                      <w:rFonts w:ascii="Aptos" w:hAnsi="Aptos"/>
                    </w:rPr>
                    <w:t>Perinatal Advisory Committee</w:t>
                  </w:r>
                </w:p>
                <w:p w14:paraId="555A49E2" w14:textId="77777777" w:rsidR="00634699" w:rsidRPr="008A6F07" w:rsidRDefault="00634699" w:rsidP="00634699">
                  <w:pPr>
                    <w:pStyle w:val="ListParagraph"/>
                    <w:numPr>
                      <w:ilvl w:val="1"/>
                      <w:numId w:val="1"/>
                    </w:numPr>
                    <w:spacing w:after="0" w:line="240" w:lineRule="auto"/>
                    <w:ind w:left="2160"/>
                    <w:rPr>
                      <w:rFonts w:ascii="Aptos" w:hAnsi="Aptos"/>
                    </w:rPr>
                  </w:pPr>
                  <w:r w:rsidRPr="008A6F07">
                    <w:rPr>
                      <w:rFonts w:ascii="Aptos" w:hAnsi="Aptos"/>
                    </w:rPr>
                    <w:t>TIPQC Conference</w:t>
                  </w:r>
                </w:p>
                <w:p w14:paraId="03D1420A" w14:textId="77777777" w:rsidR="00634699" w:rsidRPr="008A6F07" w:rsidRDefault="00634699" w:rsidP="00634699">
                  <w:pPr>
                    <w:pStyle w:val="ListParagraph"/>
                    <w:numPr>
                      <w:ilvl w:val="1"/>
                      <w:numId w:val="1"/>
                    </w:numPr>
                    <w:spacing w:after="0" w:line="240" w:lineRule="auto"/>
                    <w:ind w:left="2160"/>
                    <w:rPr>
                      <w:rFonts w:ascii="Aptos" w:hAnsi="Aptos"/>
                    </w:rPr>
                  </w:pPr>
                  <w:r w:rsidRPr="008A6F07">
                    <w:rPr>
                      <w:rFonts w:ascii="Aptos" w:hAnsi="Aptos"/>
                    </w:rPr>
                    <w:t>Maternal Health Task Force (upcoming in spring)</w:t>
                  </w:r>
                </w:p>
                <w:p w14:paraId="0DDF3DE5" w14:textId="77777777" w:rsidR="00634699" w:rsidRPr="008A6F07" w:rsidRDefault="00634699" w:rsidP="00634699">
                  <w:pPr>
                    <w:pStyle w:val="ListParagraph"/>
                    <w:numPr>
                      <w:ilvl w:val="0"/>
                      <w:numId w:val="1"/>
                    </w:numPr>
                    <w:spacing w:after="0" w:line="240" w:lineRule="auto"/>
                    <w:ind w:left="1440"/>
                    <w:rPr>
                      <w:rFonts w:ascii="Aptos" w:hAnsi="Aptos"/>
                    </w:rPr>
                  </w:pPr>
                  <w:r w:rsidRPr="008A6F07">
                    <w:rPr>
                      <w:rFonts w:ascii="Aptos" w:hAnsi="Aptos"/>
                    </w:rPr>
                    <w:t>Partnering with OB offices to pilot distribution of their prenatal flipbook at 28-week visits.</w:t>
                  </w:r>
                </w:p>
                <w:p w14:paraId="48563FE0" w14:textId="77777777" w:rsidR="00634699" w:rsidRPr="008A6F07" w:rsidRDefault="00634699" w:rsidP="00634699">
                  <w:pPr>
                    <w:pStyle w:val="ListParagraph"/>
                    <w:numPr>
                      <w:ilvl w:val="0"/>
                      <w:numId w:val="1"/>
                    </w:numPr>
                    <w:spacing w:after="0" w:line="240" w:lineRule="auto"/>
                    <w:ind w:left="1440"/>
                    <w:rPr>
                      <w:rFonts w:ascii="Aptos" w:hAnsi="Aptos"/>
                    </w:rPr>
                  </w:pPr>
                  <w:r w:rsidRPr="008A6F07">
                    <w:rPr>
                      <w:rFonts w:ascii="Aptos" w:hAnsi="Aptos"/>
                    </w:rPr>
                    <w:t>Sharing flyers with QR codes and posters through local health departments.</w:t>
                  </w:r>
                </w:p>
                <w:p w14:paraId="2FDD4B5E" w14:textId="77777777" w:rsidR="00634699" w:rsidRPr="008A6F07" w:rsidRDefault="00634699" w:rsidP="00F66BB0">
                  <w:pPr>
                    <w:spacing w:after="0" w:line="240" w:lineRule="auto"/>
                    <w:ind w:left="720"/>
                    <w:rPr>
                      <w:rFonts w:ascii="Aptos" w:hAnsi="Aptos"/>
                    </w:rPr>
                  </w:pPr>
                </w:p>
                <w:p w14:paraId="57A12A91" w14:textId="77777777" w:rsidR="00634699" w:rsidRPr="008A6F07" w:rsidRDefault="00634699" w:rsidP="00F66BB0">
                  <w:pPr>
                    <w:spacing w:after="0" w:line="240" w:lineRule="auto"/>
                    <w:ind w:left="720"/>
                    <w:rPr>
                      <w:rFonts w:ascii="Aptos" w:hAnsi="Aptos"/>
                      <w:b/>
                      <w:bCs/>
                      <w:color w:val="77206D" w:themeColor="accent5" w:themeShade="BF"/>
                    </w:rPr>
                  </w:pPr>
                  <w:r w:rsidRPr="008A6F07">
                    <w:rPr>
                      <w:rFonts w:ascii="Aptos" w:hAnsi="Aptos"/>
                      <w:b/>
                      <w:bCs/>
                      <w:color w:val="77206D" w:themeColor="accent5" w:themeShade="BF"/>
                    </w:rPr>
                    <w:t>Midwife Community</w:t>
                  </w:r>
                </w:p>
                <w:p w14:paraId="5CEAD936" w14:textId="77777777" w:rsidR="00634699" w:rsidRPr="008A6F07" w:rsidRDefault="00634699" w:rsidP="00634699">
                  <w:pPr>
                    <w:pStyle w:val="ListParagraph"/>
                    <w:numPr>
                      <w:ilvl w:val="0"/>
                      <w:numId w:val="1"/>
                    </w:numPr>
                    <w:spacing w:after="0" w:line="240" w:lineRule="auto"/>
                    <w:ind w:left="1440"/>
                    <w:rPr>
                      <w:rFonts w:ascii="Aptos" w:hAnsi="Aptos"/>
                    </w:rPr>
                  </w:pPr>
                  <w:proofErr w:type="gramStart"/>
                  <w:r w:rsidRPr="008A6F07">
                    <w:rPr>
                      <w:rFonts w:ascii="Aptos" w:hAnsi="Aptos"/>
                    </w:rPr>
                    <w:t>Generally</w:t>
                  </w:r>
                  <w:proofErr w:type="gramEnd"/>
                  <w:r w:rsidRPr="008A6F07">
                    <w:rPr>
                      <w:rFonts w:ascii="Aptos" w:hAnsi="Aptos"/>
                    </w:rPr>
                    <w:t xml:space="preserve"> very receptive due to holistic care models and their involvement in NBS follow-up during the first six weeks.</w:t>
                  </w:r>
                </w:p>
                <w:p w14:paraId="389BD2F8" w14:textId="77777777" w:rsidR="00634699" w:rsidRPr="008A6F07" w:rsidRDefault="00634699" w:rsidP="00F66BB0">
                  <w:pPr>
                    <w:spacing w:after="0" w:line="240" w:lineRule="auto"/>
                    <w:ind w:left="720"/>
                    <w:rPr>
                      <w:rFonts w:ascii="Aptos" w:hAnsi="Aptos"/>
                    </w:rPr>
                  </w:pPr>
                </w:p>
                <w:p w14:paraId="4CF95294" w14:textId="77777777" w:rsidR="00634699" w:rsidRPr="008A6F07" w:rsidRDefault="00634699" w:rsidP="00F66BB0">
                  <w:pPr>
                    <w:spacing w:after="0" w:line="240" w:lineRule="auto"/>
                    <w:ind w:left="720"/>
                    <w:rPr>
                      <w:rFonts w:ascii="Aptos" w:hAnsi="Aptos"/>
                      <w:b/>
                      <w:bCs/>
                      <w:color w:val="77206D" w:themeColor="accent5" w:themeShade="BF"/>
                    </w:rPr>
                  </w:pPr>
                  <w:r w:rsidRPr="008A6F07">
                    <w:rPr>
                      <w:rFonts w:ascii="Aptos" w:hAnsi="Aptos"/>
                      <w:b/>
                      <w:bCs/>
                      <w:color w:val="77206D" w:themeColor="accent5" w:themeShade="BF"/>
                    </w:rPr>
                    <w:t>Iowa</w:t>
                  </w:r>
                </w:p>
                <w:p w14:paraId="13E1D37B" w14:textId="77777777" w:rsidR="00634699" w:rsidRPr="008A6F07" w:rsidRDefault="00634699" w:rsidP="00634699">
                  <w:pPr>
                    <w:pStyle w:val="ListParagraph"/>
                    <w:numPr>
                      <w:ilvl w:val="0"/>
                      <w:numId w:val="1"/>
                    </w:numPr>
                    <w:spacing w:after="0" w:line="240" w:lineRule="auto"/>
                    <w:ind w:left="1440"/>
                    <w:rPr>
                      <w:rFonts w:ascii="Aptos" w:hAnsi="Aptos"/>
                    </w:rPr>
                  </w:pPr>
                  <w:r w:rsidRPr="008A6F07">
                    <w:rPr>
                      <w:rFonts w:ascii="Aptos" w:hAnsi="Aptos"/>
                    </w:rPr>
                    <w:t>Engages office managers, nurses, and front office staff</w:t>
                  </w:r>
                  <w:r>
                    <w:rPr>
                      <w:rFonts w:ascii="Aptos" w:hAnsi="Aptos"/>
                    </w:rPr>
                    <w:t xml:space="preserve"> (</w:t>
                  </w:r>
                  <w:r w:rsidRPr="008A6F07">
                    <w:rPr>
                      <w:rFonts w:ascii="Aptos" w:hAnsi="Aptos"/>
                    </w:rPr>
                    <w:t>those who most often share information directly with families</w:t>
                  </w:r>
                  <w:r>
                    <w:rPr>
                      <w:rFonts w:ascii="Aptos" w:hAnsi="Aptos"/>
                    </w:rPr>
                    <w:t>)</w:t>
                  </w:r>
                </w:p>
                <w:p w14:paraId="597AD5BF" w14:textId="77777777" w:rsidR="00634699" w:rsidRPr="008A6F07" w:rsidRDefault="00634699" w:rsidP="00F66BB0">
                  <w:pPr>
                    <w:spacing w:after="0" w:line="240" w:lineRule="auto"/>
                    <w:ind w:left="720"/>
                    <w:rPr>
                      <w:rFonts w:ascii="Aptos" w:hAnsi="Aptos"/>
                    </w:rPr>
                  </w:pPr>
                </w:p>
                <w:p w14:paraId="5866E5D7" w14:textId="77777777" w:rsidR="00634699" w:rsidRPr="008A6F07" w:rsidRDefault="00634699" w:rsidP="00F66BB0">
                  <w:pPr>
                    <w:spacing w:after="0" w:line="240" w:lineRule="auto"/>
                    <w:ind w:left="720"/>
                    <w:rPr>
                      <w:rFonts w:ascii="Aptos" w:hAnsi="Aptos"/>
                      <w:b/>
                      <w:bCs/>
                    </w:rPr>
                  </w:pPr>
                  <w:r w:rsidRPr="008A6F07">
                    <w:rPr>
                      <w:rFonts w:ascii="Aptos" w:hAnsi="Aptos"/>
                      <w:b/>
                      <w:bCs/>
                      <w:color w:val="77206D" w:themeColor="accent5" w:themeShade="BF"/>
                    </w:rPr>
                    <w:t>Perinatal Quality Collaboratives (PQCs)</w:t>
                  </w:r>
                </w:p>
                <w:p w14:paraId="7E8C40B1" w14:textId="77777777" w:rsidR="00634699" w:rsidRPr="008A6F07" w:rsidRDefault="00634699" w:rsidP="00634699">
                  <w:pPr>
                    <w:pStyle w:val="ListParagraph"/>
                    <w:numPr>
                      <w:ilvl w:val="0"/>
                      <w:numId w:val="1"/>
                    </w:numPr>
                    <w:spacing w:after="0" w:line="240" w:lineRule="auto"/>
                    <w:ind w:left="1440"/>
                    <w:rPr>
                      <w:rFonts w:ascii="Aptos" w:hAnsi="Aptos"/>
                    </w:rPr>
                  </w:pPr>
                  <w:r w:rsidRPr="008A6F07">
                    <w:rPr>
                      <w:rFonts w:ascii="Aptos" w:hAnsi="Aptos"/>
                    </w:rPr>
                    <w:t>Many states have successfully used PQCs as a connection point:</w:t>
                  </w:r>
                </w:p>
                <w:p w14:paraId="659AD377" w14:textId="77777777" w:rsidR="00634699" w:rsidRPr="008A6F07" w:rsidRDefault="00634699" w:rsidP="00634699">
                  <w:pPr>
                    <w:pStyle w:val="ListParagraph"/>
                    <w:numPr>
                      <w:ilvl w:val="0"/>
                      <w:numId w:val="1"/>
                    </w:numPr>
                    <w:spacing w:after="0" w:line="240" w:lineRule="auto"/>
                    <w:ind w:left="1440"/>
                    <w:rPr>
                      <w:rFonts w:ascii="Aptos" w:hAnsi="Aptos"/>
                    </w:rPr>
                  </w:pPr>
                  <w:r w:rsidRPr="008A6F07">
                    <w:rPr>
                      <w:rFonts w:ascii="Aptos" w:hAnsi="Aptos"/>
                    </w:rPr>
                    <w:t>Relationship-building with PQC leaders</w:t>
                  </w:r>
                </w:p>
                <w:p w14:paraId="7FAF5E28" w14:textId="77777777" w:rsidR="00634699" w:rsidRPr="008A6F07" w:rsidRDefault="00634699" w:rsidP="00634699">
                  <w:pPr>
                    <w:pStyle w:val="ListParagraph"/>
                    <w:numPr>
                      <w:ilvl w:val="0"/>
                      <w:numId w:val="1"/>
                    </w:numPr>
                    <w:spacing w:after="0" w:line="240" w:lineRule="auto"/>
                    <w:ind w:left="1440"/>
                    <w:rPr>
                      <w:rFonts w:ascii="Aptos" w:hAnsi="Aptos"/>
                    </w:rPr>
                  </w:pPr>
                  <w:r w:rsidRPr="008A6F07">
                    <w:rPr>
                      <w:rFonts w:ascii="Aptos" w:hAnsi="Aptos"/>
                    </w:rPr>
                    <w:t>Participating in PQC meetings and conferences</w:t>
                  </w:r>
                </w:p>
                <w:p w14:paraId="05BC343F" w14:textId="77777777" w:rsidR="00634699" w:rsidRPr="008A6F07" w:rsidRDefault="00634699" w:rsidP="00634699">
                  <w:pPr>
                    <w:pStyle w:val="ListParagraph"/>
                    <w:numPr>
                      <w:ilvl w:val="0"/>
                      <w:numId w:val="1"/>
                    </w:numPr>
                    <w:spacing w:after="0" w:line="240" w:lineRule="auto"/>
                    <w:ind w:left="1440"/>
                    <w:rPr>
                      <w:rFonts w:ascii="Aptos" w:hAnsi="Aptos"/>
                    </w:rPr>
                  </w:pPr>
                  <w:r w:rsidRPr="008A6F07">
                    <w:rPr>
                      <w:rFonts w:ascii="Aptos" w:hAnsi="Aptos"/>
                    </w:rPr>
                    <w:t>Sharing materials for broad distribution</w:t>
                  </w:r>
                </w:p>
                <w:p w14:paraId="202D175A" w14:textId="77777777" w:rsidR="00634699" w:rsidRPr="008A6F07" w:rsidRDefault="00634699" w:rsidP="00F66BB0">
                  <w:pPr>
                    <w:spacing w:after="0" w:line="240" w:lineRule="auto"/>
                    <w:ind w:left="720"/>
                    <w:rPr>
                      <w:rFonts w:ascii="Aptos" w:hAnsi="Aptos"/>
                    </w:rPr>
                  </w:pPr>
                </w:p>
                <w:p w14:paraId="7CE58F97" w14:textId="77777777" w:rsidR="00634699" w:rsidRPr="008A6F07" w:rsidRDefault="00634699" w:rsidP="00F66BB0">
                  <w:pPr>
                    <w:spacing w:after="0" w:line="240" w:lineRule="auto"/>
                    <w:ind w:left="720"/>
                    <w:rPr>
                      <w:rFonts w:ascii="Aptos" w:hAnsi="Aptos"/>
                      <w:b/>
                      <w:bCs/>
                      <w:color w:val="77206D" w:themeColor="accent5" w:themeShade="BF"/>
                    </w:rPr>
                  </w:pPr>
                  <w:r w:rsidRPr="008A6F07">
                    <w:rPr>
                      <w:rFonts w:ascii="Aptos" w:hAnsi="Aptos"/>
                      <w:b/>
                      <w:bCs/>
                      <w:color w:val="77206D" w:themeColor="accent5" w:themeShade="BF"/>
                    </w:rPr>
                    <w:t>Other Partners</w:t>
                  </w:r>
                </w:p>
                <w:p w14:paraId="0DC28108" w14:textId="77777777" w:rsidR="00634699" w:rsidRPr="008A6F07" w:rsidRDefault="00634699" w:rsidP="00634699">
                  <w:pPr>
                    <w:pStyle w:val="ListParagraph"/>
                    <w:numPr>
                      <w:ilvl w:val="0"/>
                      <w:numId w:val="1"/>
                    </w:numPr>
                    <w:spacing w:after="0" w:line="240" w:lineRule="auto"/>
                    <w:ind w:left="1440"/>
                    <w:rPr>
                      <w:rFonts w:ascii="Aptos" w:hAnsi="Aptos"/>
                    </w:rPr>
                  </w:pPr>
                  <w:r w:rsidRPr="008A6F07">
                    <w:rPr>
                      <w:rFonts w:ascii="Aptos" w:hAnsi="Aptos"/>
                    </w:rPr>
                    <w:t>Family practitioners (via the American Academy of Family Physicians) should also be included in outreach strategies.</w:t>
                  </w:r>
                </w:p>
                <w:p w14:paraId="79DCB60B" w14:textId="77777777" w:rsidR="00634699" w:rsidRPr="008A6F07" w:rsidRDefault="00634699" w:rsidP="00F66BB0">
                  <w:pPr>
                    <w:spacing w:after="0" w:line="240" w:lineRule="auto"/>
                    <w:rPr>
                      <w:rFonts w:ascii="Aptos" w:hAnsi="Aptos"/>
                    </w:rPr>
                  </w:pPr>
                </w:p>
                <w:p w14:paraId="2340AF4C" w14:textId="77777777" w:rsidR="00634699" w:rsidRPr="008A6F07" w:rsidRDefault="00634699" w:rsidP="00F66BB0">
                  <w:pPr>
                    <w:spacing w:after="0" w:line="240" w:lineRule="auto"/>
                    <w:rPr>
                      <w:rFonts w:ascii="Aptos" w:hAnsi="Aptos"/>
                      <w:b/>
                      <w:bCs/>
                    </w:rPr>
                  </w:pPr>
                  <w:r w:rsidRPr="008A6F07">
                    <w:rPr>
                      <w:rFonts w:ascii="Aptos" w:hAnsi="Aptos"/>
                      <w:b/>
                      <w:bCs/>
                      <w:color w:val="77206D" w:themeColor="accent5" w:themeShade="BF"/>
                    </w:rPr>
                    <w:t>Cross-Cutting Barriers</w:t>
                  </w:r>
                </w:p>
                <w:p w14:paraId="0391AE49"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Limited staff time to organize and promote materials.</w:t>
                  </w:r>
                </w:p>
                <w:p w14:paraId="06D7D86D"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OB provider hesitation (many see their primary focus as maternal health)</w:t>
                  </w:r>
                </w:p>
                <w:p w14:paraId="21968007"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t>Costs associated with modifications to LIMS and patient portals.</w:t>
                  </w:r>
                </w:p>
                <w:p w14:paraId="25BA4963" w14:textId="77777777" w:rsidR="00634699" w:rsidRPr="008A6F07" w:rsidRDefault="00634699" w:rsidP="00634699">
                  <w:pPr>
                    <w:pStyle w:val="ListParagraph"/>
                    <w:numPr>
                      <w:ilvl w:val="0"/>
                      <w:numId w:val="1"/>
                    </w:numPr>
                    <w:spacing w:after="0" w:line="240" w:lineRule="auto"/>
                    <w:rPr>
                      <w:rFonts w:ascii="Aptos" w:hAnsi="Aptos"/>
                    </w:rPr>
                  </w:pPr>
                  <w:r w:rsidRPr="008A6F07">
                    <w:rPr>
                      <w:rFonts w:ascii="Aptos" w:hAnsi="Aptos"/>
                    </w:rPr>
                    <w:lastRenderedPageBreak/>
                    <w:t>Financial barriers for producing videos and other multimedia.</w:t>
                  </w:r>
                </w:p>
                <w:p w14:paraId="2B713622" w14:textId="77777777" w:rsidR="00634699" w:rsidRDefault="00634699" w:rsidP="00F66BB0">
                  <w:pPr>
                    <w:spacing w:after="0" w:line="240" w:lineRule="auto"/>
                    <w:rPr>
                      <w:rFonts w:ascii="Aptos" w:hAnsi="Aptos"/>
                    </w:rPr>
                  </w:pPr>
                </w:p>
                <w:p w14:paraId="10AE64B9" w14:textId="77777777" w:rsidR="00634699" w:rsidRPr="008A6F07" w:rsidRDefault="00634699" w:rsidP="00F66BB0">
                  <w:pPr>
                    <w:spacing w:after="0" w:line="240" w:lineRule="auto"/>
                    <w:rPr>
                      <w:rFonts w:ascii="Aptos" w:hAnsi="Aptos"/>
                      <w:b/>
                      <w:bCs/>
                      <w:color w:val="77206D" w:themeColor="accent5" w:themeShade="BF"/>
                    </w:rPr>
                  </w:pPr>
                  <w:r w:rsidRPr="008A6F07">
                    <w:rPr>
                      <w:rFonts w:ascii="Aptos" w:hAnsi="Aptos"/>
                      <w:b/>
                      <w:bCs/>
                      <w:color w:val="77206D" w:themeColor="accent5" w:themeShade="BF"/>
                    </w:rPr>
                    <w:t>Measuring Success</w:t>
                  </w:r>
                </w:p>
                <w:p w14:paraId="0D5ACC73" w14:textId="77777777" w:rsidR="00634699" w:rsidRDefault="00634699" w:rsidP="00634699">
                  <w:pPr>
                    <w:pStyle w:val="ListParagraph"/>
                    <w:numPr>
                      <w:ilvl w:val="0"/>
                      <w:numId w:val="1"/>
                    </w:numPr>
                    <w:spacing w:after="0" w:line="240" w:lineRule="auto"/>
                    <w:rPr>
                      <w:rFonts w:ascii="Aptos" w:hAnsi="Aptos"/>
                    </w:rPr>
                  </w:pPr>
                  <w:r w:rsidRPr="008A6F07">
                    <w:rPr>
                      <w:rFonts w:ascii="Aptos" w:hAnsi="Aptos"/>
                    </w:rPr>
                    <w:t>Many states track pageviews, QR code scans, and website click-throughs to assess reach and engagement.</w:t>
                  </w:r>
                </w:p>
                <w:p w14:paraId="37ECA4C2" w14:textId="49613775" w:rsidR="001E0123" w:rsidRDefault="001E0123" w:rsidP="001E0123">
                  <w:pPr>
                    <w:spacing w:after="0" w:line="240" w:lineRule="auto"/>
                    <w:rPr>
                      <w:rFonts w:ascii="Aptos" w:hAnsi="Aptos"/>
                    </w:rPr>
                  </w:pPr>
                </w:p>
                <w:p w14:paraId="6162C460" w14:textId="1BB247C5" w:rsidR="001E0123" w:rsidRPr="001E0123" w:rsidRDefault="001E0123" w:rsidP="001E0123">
                  <w:pPr>
                    <w:spacing w:after="0" w:line="240" w:lineRule="auto"/>
                    <w:rPr>
                      <w:rFonts w:ascii="Aptos" w:hAnsi="Aptos"/>
                      <w:b/>
                      <w:bCs/>
                      <w:color w:val="77206D"/>
                    </w:rPr>
                  </w:pPr>
                  <w:r w:rsidRPr="001E0123">
                    <w:rPr>
                      <w:rFonts w:ascii="Aptos" w:hAnsi="Aptos"/>
                      <w:b/>
                      <w:bCs/>
                      <w:color w:val="77206D"/>
                    </w:rPr>
                    <w:t>Additional Prenatal Resources Shared:</w:t>
                  </w:r>
                </w:p>
                <w:p w14:paraId="15C11A57" w14:textId="49D89220" w:rsidR="001E0123" w:rsidRPr="001E0123" w:rsidRDefault="001E0123" w:rsidP="001E0123">
                  <w:pPr>
                    <w:pStyle w:val="ListParagraph"/>
                    <w:numPr>
                      <w:ilvl w:val="0"/>
                      <w:numId w:val="1"/>
                    </w:numPr>
                    <w:spacing w:after="0" w:line="240" w:lineRule="auto"/>
                    <w:rPr>
                      <w:rFonts w:ascii="Aptos" w:hAnsi="Aptos"/>
                    </w:rPr>
                  </w:pPr>
                  <w:hyperlink r:id="rId12" w:history="1">
                    <w:r w:rsidRPr="001E0123">
                      <w:rPr>
                        <w:rStyle w:val="Hyperlink"/>
                        <w:rFonts w:ascii="Aptos" w:hAnsi="Aptos"/>
                      </w:rPr>
                      <w:t>Newborn Screening Education Resource List</w:t>
                    </w:r>
                  </w:hyperlink>
                  <w:r w:rsidRPr="001E0123">
                    <w:rPr>
                      <w:rFonts w:ascii="Aptos" w:hAnsi="Aptos"/>
                    </w:rPr>
                    <w:t xml:space="preserve"> (co-created by Expecting Health and APHL education workgroup)</w:t>
                  </w:r>
                </w:p>
                <w:p w14:paraId="6A055FCC" w14:textId="77777777" w:rsidR="001E0123" w:rsidRPr="001E0123" w:rsidRDefault="001E0123" w:rsidP="001E0123">
                  <w:pPr>
                    <w:pStyle w:val="ListParagraph"/>
                    <w:numPr>
                      <w:ilvl w:val="0"/>
                      <w:numId w:val="1"/>
                    </w:numPr>
                    <w:spacing w:after="0" w:line="240" w:lineRule="auto"/>
                    <w:rPr>
                      <w:rFonts w:ascii="Aptos" w:hAnsi="Aptos"/>
                    </w:rPr>
                  </w:pPr>
                  <w:hyperlink r:id="rId13" w:history="1">
                    <w:r w:rsidRPr="001E0123">
                      <w:rPr>
                        <w:rStyle w:val="Hyperlink"/>
                        <w:rFonts w:ascii="Aptos" w:hAnsi="Aptos"/>
                      </w:rPr>
                      <w:t>Prenatal Education Implementation Guide</w:t>
                    </w:r>
                  </w:hyperlink>
                </w:p>
                <w:p w14:paraId="5A16EE35" w14:textId="0334266B" w:rsidR="001E0123" w:rsidRPr="001E0123" w:rsidRDefault="001E0123" w:rsidP="001E0123">
                  <w:pPr>
                    <w:spacing w:after="0" w:line="240" w:lineRule="auto"/>
                    <w:rPr>
                      <w:rFonts w:ascii="Aptos" w:hAnsi="Aptos"/>
                    </w:rPr>
                  </w:pPr>
                  <w:r>
                    <w:rPr>
                      <w:rFonts w:ascii="Aptos" w:hAnsi="Aptos"/>
                    </w:rPr>
                    <w:t xml:space="preserve"> </w:t>
                  </w:r>
                </w:p>
                <w:p w14:paraId="2116FA1D" w14:textId="77777777" w:rsidR="00634699" w:rsidRPr="00EF739F" w:rsidRDefault="00634699" w:rsidP="00F66BB0">
                  <w:pPr>
                    <w:keepNext/>
                    <w:keepLines/>
                    <w:spacing w:before="200" w:after="0"/>
                    <w:outlineLvl w:val="1"/>
                    <w:rPr>
                      <w:rFonts w:ascii="Aptos" w:eastAsiaTheme="majorEastAsia" w:hAnsi="Aptos" w:cstheme="majorBidi"/>
                      <w:b/>
                      <w:bCs/>
                      <w:color w:val="8E4585"/>
                    </w:rPr>
                  </w:pPr>
                  <w:r w:rsidRPr="00EF739F">
                    <w:rPr>
                      <w:rFonts w:ascii="Aptos" w:eastAsiaTheme="majorEastAsia" w:hAnsi="Aptos" w:cstheme="majorBidi"/>
                      <w:b/>
                      <w:bCs/>
                      <w:color w:val="8E4585"/>
                    </w:rPr>
                    <w:t>Next Steps</w:t>
                  </w:r>
                </w:p>
                <w:p w14:paraId="0985E702" w14:textId="77777777" w:rsidR="00634699" w:rsidRPr="00EF739F" w:rsidRDefault="00634699" w:rsidP="00F66BB0">
                  <w:pPr>
                    <w:rPr>
                      <w:rFonts w:ascii="Aptos" w:hAnsi="Aptos"/>
                    </w:rPr>
                  </w:pPr>
                  <w:r w:rsidRPr="00EF739F">
                    <w:rPr>
                      <w:rFonts w:ascii="Aptos" w:hAnsi="Aptos"/>
                    </w:rPr>
                    <w:t>Programs are encouraged to share their prenatal education resources</w:t>
                  </w:r>
                  <w:r>
                    <w:rPr>
                      <w:rFonts w:ascii="Aptos" w:hAnsi="Aptos"/>
                    </w:rPr>
                    <w:t xml:space="preserve"> and</w:t>
                  </w:r>
                  <w:r w:rsidRPr="00EF739F">
                    <w:rPr>
                      <w:rFonts w:ascii="Aptos" w:hAnsi="Aptos"/>
                    </w:rPr>
                    <w:t xml:space="preserve"> suggest future call topics</w:t>
                  </w:r>
                  <w:r>
                    <w:rPr>
                      <w:rFonts w:ascii="Aptos" w:hAnsi="Aptos"/>
                    </w:rPr>
                    <w:t>.</w:t>
                  </w:r>
                </w:p>
                <w:p w14:paraId="70FBDB3D" w14:textId="0B981C06" w:rsidR="00634699" w:rsidRPr="0013458D" w:rsidRDefault="0013458D" w:rsidP="00F66BB0">
                  <w:pPr>
                    <w:spacing w:after="0" w:line="240" w:lineRule="auto"/>
                    <w:textAlignment w:val="baseline"/>
                    <w:rPr>
                      <w:rFonts w:ascii="Aptos" w:eastAsia="Times New Roman" w:hAnsi="Aptos" w:cs="Times New Roman"/>
                      <w:i/>
                      <w:iCs/>
                      <w:color w:val="000000"/>
                      <w:sz w:val="16"/>
                      <w:szCs w:val="16"/>
                    </w:rPr>
                  </w:pPr>
                  <w:r w:rsidRPr="0013458D">
                    <w:rPr>
                      <w:rFonts w:ascii="Aptos" w:eastAsia="Times New Roman" w:hAnsi="Aptos" w:cs="Times New Roman"/>
                      <w:i/>
                      <w:iCs/>
                      <w:color w:val="000000"/>
                      <w:sz w:val="16"/>
                      <w:szCs w:val="16"/>
                    </w:rPr>
                    <w:t>This activity is supported by the Health Resources and Services Administration (HRSA) under Cooperative Agreement #U22MC24078 for $2,300,000. This content is those of the authors and should not be construed as the official position or policy of, nor should any endorsements be inferred by HRSA, HHS or the US Government.</w:t>
                  </w:r>
                </w:p>
              </w:tc>
            </w:tr>
            <w:tr w:rsidR="00634699" w:rsidRPr="00EF739F" w14:paraId="23037189" w14:textId="77777777" w:rsidTr="00F66BB0">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5970"/>
                    <w:gridCol w:w="3030"/>
                  </w:tblGrid>
                  <w:tr w:rsidR="00634699" w:rsidRPr="00EF739F" w14:paraId="21BCF6A8" w14:textId="77777777" w:rsidTr="00F66BB0">
                    <w:tc>
                      <w:tcPr>
                        <w:tcW w:w="5970" w:type="dxa"/>
                        <w:hideMark/>
                      </w:tcPr>
                      <w:tbl>
                        <w:tblPr>
                          <w:tblW w:w="5970" w:type="dxa"/>
                          <w:tblCellMar>
                            <w:left w:w="0" w:type="dxa"/>
                            <w:right w:w="0" w:type="dxa"/>
                          </w:tblCellMar>
                          <w:tblLook w:val="04A0" w:firstRow="1" w:lastRow="0" w:firstColumn="1" w:lastColumn="0" w:noHBand="0" w:noVBand="1"/>
                        </w:tblPr>
                        <w:tblGrid>
                          <w:gridCol w:w="5970"/>
                        </w:tblGrid>
                        <w:tr w:rsidR="00634699" w:rsidRPr="00EF739F" w14:paraId="4EDD8947" w14:textId="77777777" w:rsidTr="00F66BB0">
                          <w:tc>
                            <w:tcPr>
                              <w:tcW w:w="5970" w:type="dxa"/>
                              <w:hideMark/>
                            </w:tcPr>
                            <w:tbl>
                              <w:tblPr>
                                <w:tblW w:w="5970" w:type="dxa"/>
                                <w:tblCellMar>
                                  <w:left w:w="0" w:type="dxa"/>
                                  <w:right w:w="0" w:type="dxa"/>
                                </w:tblCellMar>
                                <w:tblLook w:val="04A0" w:firstRow="1" w:lastRow="0" w:firstColumn="1" w:lastColumn="0" w:noHBand="0" w:noVBand="1"/>
                              </w:tblPr>
                              <w:tblGrid>
                                <w:gridCol w:w="5970"/>
                              </w:tblGrid>
                              <w:tr w:rsidR="00634699" w:rsidRPr="00EF739F" w14:paraId="6839984C" w14:textId="77777777" w:rsidTr="00F66BB0">
                                <w:tc>
                                  <w:tcPr>
                                    <w:tcW w:w="5790" w:type="dxa"/>
                                    <w:hideMark/>
                                  </w:tcPr>
                                  <w:p w14:paraId="477B8211" w14:textId="77777777" w:rsidR="00634699" w:rsidRPr="00EF739F" w:rsidRDefault="00634699" w:rsidP="00F66BB0">
                                    <w:pPr>
                                      <w:spacing w:after="0" w:line="240" w:lineRule="auto"/>
                                      <w:textAlignment w:val="baseline"/>
                                      <w:rPr>
                                        <w:rFonts w:ascii="Aptos" w:eastAsia="Times New Roman" w:hAnsi="Aptos" w:cs="Times New Roman"/>
                                        <w:color w:val="000000"/>
                                      </w:rPr>
                                    </w:pPr>
                                  </w:p>
                                </w:tc>
                              </w:tr>
                            </w:tbl>
                            <w:p w14:paraId="04947873" w14:textId="77777777" w:rsidR="00634699" w:rsidRPr="00EF739F" w:rsidRDefault="00634699" w:rsidP="00F66BB0">
                              <w:pPr>
                                <w:spacing w:after="0" w:line="240" w:lineRule="auto"/>
                                <w:rPr>
                                  <w:rFonts w:ascii="Times New Roman" w:eastAsia="Times New Roman" w:hAnsi="Times New Roman" w:cs="Times New Roman"/>
                                  <w:sz w:val="24"/>
                                  <w:szCs w:val="24"/>
                                </w:rPr>
                              </w:pPr>
                            </w:p>
                          </w:tc>
                        </w:tr>
                      </w:tbl>
                      <w:p w14:paraId="23E836CC" w14:textId="77777777" w:rsidR="00634699" w:rsidRPr="00EF739F" w:rsidRDefault="00634699" w:rsidP="00F66BB0">
                        <w:pPr>
                          <w:spacing w:after="0" w:line="240" w:lineRule="auto"/>
                          <w:rPr>
                            <w:rFonts w:ascii="Times New Roman" w:eastAsia="Times New Roman" w:hAnsi="Times New Roman" w:cs="Times New Roman"/>
                            <w:sz w:val="24"/>
                            <w:szCs w:val="24"/>
                          </w:rPr>
                        </w:pPr>
                      </w:p>
                    </w:tc>
                    <w:tc>
                      <w:tcPr>
                        <w:tcW w:w="3030" w:type="dxa"/>
                        <w:hideMark/>
                      </w:tcPr>
                      <w:tbl>
                        <w:tblPr>
                          <w:tblW w:w="3030" w:type="dxa"/>
                          <w:tblCellMar>
                            <w:left w:w="0" w:type="dxa"/>
                            <w:right w:w="0" w:type="dxa"/>
                          </w:tblCellMar>
                          <w:tblLook w:val="04A0" w:firstRow="1" w:lastRow="0" w:firstColumn="1" w:lastColumn="0" w:noHBand="0" w:noVBand="1"/>
                        </w:tblPr>
                        <w:tblGrid>
                          <w:gridCol w:w="3030"/>
                        </w:tblGrid>
                        <w:tr w:rsidR="00634699" w:rsidRPr="00EF739F" w14:paraId="51CB1D58" w14:textId="77777777" w:rsidTr="00F66BB0">
                          <w:tc>
                            <w:tcPr>
                              <w:tcW w:w="2850" w:type="dxa"/>
                              <w:hideMark/>
                            </w:tcPr>
                            <w:p w14:paraId="1E8AE6F6" w14:textId="77777777" w:rsidR="00634699" w:rsidRPr="00EF739F" w:rsidRDefault="00634699" w:rsidP="00F66BB0">
                              <w:pPr>
                                <w:spacing w:after="0" w:line="240" w:lineRule="auto"/>
                                <w:rPr>
                                  <w:rFonts w:ascii="Times New Roman" w:eastAsia="Times New Roman" w:hAnsi="Times New Roman" w:cs="Times New Roman"/>
                                  <w:sz w:val="20"/>
                                  <w:szCs w:val="20"/>
                                </w:rPr>
                              </w:pPr>
                            </w:p>
                          </w:tc>
                        </w:tr>
                      </w:tbl>
                      <w:p w14:paraId="783198B9" w14:textId="77777777" w:rsidR="00634699" w:rsidRPr="00EF739F" w:rsidRDefault="00634699" w:rsidP="00F66BB0">
                        <w:pPr>
                          <w:spacing w:after="0" w:line="240" w:lineRule="auto"/>
                          <w:rPr>
                            <w:rFonts w:ascii="Times New Roman" w:eastAsia="Times New Roman" w:hAnsi="Times New Roman" w:cs="Times New Roman"/>
                            <w:sz w:val="24"/>
                            <w:szCs w:val="24"/>
                          </w:rPr>
                        </w:pPr>
                      </w:p>
                    </w:tc>
                  </w:tr>
                </w:tbl>
                <w:p w14:paraId="694F51D6" w14:textId="77777777" w:rsidR="00634699" w:rsidRPr="00EF739F" w:rsidRDefault="00634699" w:rsidP="00F66BB0">
                  <w:pPr>
                    <w:spacing w:after="0" w:line="240" w:lineRule="auto"/>
                    <w:rPr>
                      <w:rFonts w:ascii="Times New Roman" w:eastAsia="Times New Roman" w:hAnsi="Times New Roman" w:cs="Times New Roman"/>
                      <w:sz w:val="24"/>
                      <w:szCs w:val="24"/>
                    </w:rPr>
                  </w:pPr>
                </w:p>
              </w:tc>
            </w:tr>
            <w:tr w:rsidR="00634699" w:rsidRPr="00EF739F" w14:paraId="3D9DD874" w14:textId="77777777" w:rsidTr="00F66BB0">
              <w:tc>
                <w:tcPr>
                  <w:tcW w:w="9000" w:type="dxa"/>
                  <w:shd w:val="clear" w:color="auto" w:fill="EE7723"/>
                  <w:tcMar>
                    <w:top w:w="300" w:type="dxa"/>
                    <w:left w:w="300" w:type="dxa"/>
                    <w:bottom w:w="300" w:type="dxa"/>
                    <w:right w:w="300" w:type="dxa"/>
                  </w:tcMar>
                  <w:hideMark/>
                </w:tcPr>
                <w:p w14:paraId="562752BC" w14:textId="77777777" w:rsidR="00634699" w:rsidRPr="00EF739F" w:rsidRDefault="00634699" w:rsidP="00F66BB0">
                  <w:pPr>
                    <w:spacing w:after="0" w:line="240" w:lineRule="auto"/>
                    <w:textAlignment w:val="baseline"/>
                    <w:rPr>
                      <w:rFonts w:ascii="Aptos" w:eastAsia="Times New Roman" w:hAnsi="Aptos" w:cs="Times New Roman"/>
                      <w:color w:val="FFFFFF"/>
                    </w:rPr>
                  </w:pPr>
                </w:p>
              </w:tc>
            </w:tr>
            <w:tr w:rsidR="00634699" w:rsidRPr="00EF739F" w14:paraId="1D554E40" w14:textId="77777777" w:rsidTr="00F66BB0">
              <w:tc>
                <w:tcPr>
                  <w:tcW w:w="9000" w:type="dxa"/>
                  <w:tcMar>
                    <w:top w:w="0" w:type="dxa"/>
                    <w:left w:w="0" w:type="dxa"/>
                    <w:bottom w:w="120" w:type="dxa"/>
                    <w:right w:w="0" w:type="dxa"/>
                  </w:tcMar>
                  <w:hideMark/>
                </w:tcPr>
                <w:tbl>
                  <w:tblPr>
                    <w:tblW w:w="9000" w:type="dxa"/>
                    <w:tblCellMar>
                      <w:left w:w="0" w:type="dxa"/>
                      <w:right w:w="0" w:type="dxa"/>
                    </w:tblCellMar>
                    <w:tblLook w:val="04A0" w:firstRow="1" w:lastRow="0" w:firstColumn="1" w:lastColumn="0" w:noHBand="0" w:noVBand="1"/>
                  </w:tblPr>
                  <w:tblGrid>
                    <w:gridCol w:w="3010"/>
                    <w:gridCol w:w="2351"/>
                    <w:gridCol w:w="3639"/>
                  </w:tblGrid>
                  <w:tr w:rsidR="00634699" w:rsidRPr="00EF739F" w14:paraId="77F8D340" w14:textId="77777777" w:rsidTr="00F66BB0">
                    <w:tc>
                      <w:tcPr>
                        <w:tcW w:w="3015" w:type="dxa"/>
                        <w:hideMark/>
                      </w:tcPr>
                      <w:tbl>
                        <w:tblPr>
                          <w:tblW w:w="3010" w:type="dxa"/>
                          <w:tblCellMar>
                            <w:left w:w="0" w:type="dxa"/>
                            <w:right w:w="0" w:type="dxa"/>
                          </w:tblCellMar>
                          <w:tblLook w:val="04A0" w:firstRow="1" w:lastRow="0" w:firstColumn="1" w:lastColumn="0" w:noHBand="0" w:noVBand="1"/>
                        </w:tblPr>
                        <w:tblGrid>
                          <w:gridCol w:w="3010"/>
                        </w:tblGrid>
                        <w:tr w:rsidR="00634699" w:rsidRPr="00EF739F" w14:paraId="2A86B23C" w14:textId="77777777" w:rsidTr="00F66BB0">
                          <w:tc>
                            <w:tcPr>
                              <w:tcW w:w="3015" w:type="dxa"/>
                              <w:hideMark/>
                            </w:tcPr>
                            <w:tbl>
                              <w:tblPr>
                                <w:tblW w:w="3010" w:type="dxa"/>
                                <w:tblCellMar>
                                  <w:left w:w="0" w:type="dxa"/>
                                  <w:right w:w="0" w:type="dxa"/>
                                </w:tblCellMar>
                                <w:tblLook w:val="04A0" w:firstRow="1" w:lastRow="0" w:firstColumn="1" w:lastColumn="0" w:noHBand="0" w:noVBand="1"/>
                              </w:tblPr>
                              <w:tblGrid>
                                <w:gridCol w:w="3010"/>
                              </w:tblGrid>
                              <w:tr w:rsidR="00634699" w:rsidRPr="00EF739F" w14:paraId="030BB939" w14:textId="77777777" w:rsidTr="00F66BB0">
                                <w:tc>
                                  <w:tcPr>
                                    <w:tcW w:w="2835" w:type="dxa"/>
                                    <w:hideMark/>
                                  </w:tcPr>
                                  <w:p w14:paraId="6B85B207" w14:textId="77777777" w:rsidR="00634699" w:rsidRPr="00EF739F" w:rsidRDefault="00634699" w:rsidP="00F66BB0">
                                    <w:pPr>
                                      <w:spacing w:after="0" w:line="240" w:lineRule="auto"/>
                                      <w:textAlignment w:val="baseline"/>
                                      <w:rPr>
                                        <w:rFonts w:ascii="Aptos" w:eastAsia="Times New Roman" w:hAnsi="Aptos" w:cs="Times New Roman"/>
                                        <w:color w:val="FFFFFF"/>
                                      </w:rPr>
                                    </w:pPr>
                                  </w:p>
                                </w:tc>
                              </w:tr>
                            </w:tbl>
                            <w:p w14:paraId="73CD6ACA" w14:textId="77777777" w:rsidR="00634699" w:rsidRPr="00EF739F" w:rsidRDefault="00634699" w:rsidP="00F66BB0">
                              <w:pPr>
                                <w:spacing w:after="0" w:line="240" w:lineRule="auto"/>
                                <w:rPr>
                                  <w:rFonts w:ascii="Times New Roman" w:eastAsia="Times New Roman" w:hAnsi="Times New Roman" w:cs="Times New Roman"/>
                                  <w:sz w:val="24"/>
                                  <w:szCs w:val="24"/>
                                </w:rPr>
                              </w:pPr>
                            </w:p>
                          </w:tc>
                        </w:tr>
                      </w:tbl>
                      <w:p w14:paraId="0C70731A" w14:textId="77777777" w:rsidR="00634699" w:rsidRPr="00EF739F" w:rsidRDefault="00634699" w:rsidP="00F66BB0">
                        <w:pPr>
                          <w:spacing w:after="0" w:line="240" w:lineRule="auto"/>
                          <w:rPr>
                            <w:rFonts w:ascii="Times New Roman" w:eastAsia="Times New Roman" w:hAnsi="Times New Roman" w:cs="Times New Roman"/>
                            <w:sz w:val="24"/>
                            <w:szCs w:val="24"/>
                          </w:rPr>
                        </w:pPr>
                      </w:p>
                    </w:tc>
                    <w:tc>
                      <w:tcPr>
                        <w:tcW w:w="2355" w:type="dxa"/>
                        <w:hideMark/>
                      </w:tcPr>
                      <w:tbl>
                        <w:tblPr>
                          <w:tblW w:w="2351" w:type="dxa"/>
                          <w:tblCellMar>
                            <w:left w:w="0" w:type="dxa"/>
                            <w:right w:w="0" w:type="dxa"/>
                          </w:tblCellMar>
                          <w:tblLook w:val="04A0" w:firstRow="1" w:lastRow="0" w:firstColumn="1" w:lastColumn="0" w:noHBand="0" w:noVBand="1"/>
                        </w:tblPr>
                        <w:tblGrid>
                          <w:gridCol w:w="2351"/>
                        </w:tblGrid>
                        <w:tr w:rsidR="00634699" w:rsidRPr="00EF739F" w14:paraId="54538430" w14:textId="77777777" w:rsidTr="00F66BB0">
                          <w:tc>
                            <w:tcPr>
                              <w:tcW w:w="2355" w:type="dxa"/>
                              <w:hideMark/>
                            </w:tcPr>
                            <w:tbl>
                              <w:tblPr>
                                <w:tblW w:w="2351" w:type="dxa"/>
                                <w:tblCellMar>
                                  <w:left w:w="0" w:type="dxa"/>
                                  <w:right w:w="0" w:type="dxa"/>
                                </w:tblCellMar>
                                <w:tblLook w:val="04A0" w:firstRow="1" w:lastRow="0" w:firstColumn="1" w:lastColumn="0" w:noHBand="0" w:noVBand="1"/>
                              </w:tblPr>
                              <w:tblGrid>
                                <w:gridCol w:w="2351"/>
                              </w:tblGrid>
                              <w:tr w:rsidR="00634699" w:rsidRPr="00EF739F" w14:paraId="00206E12" w14:textId="77777777" w:rsidTr="00F66BB0">
                                <w:tc>
                                  <w:tcPr>
                                    <w:tcW w:w="2175" w:type="dxa"/>
                                    <w:hideMark/>
                                  </w:tcPr>
                                  <w:p w14:paraId="50FC74FA" w14:textId="77777777" w:rsidR="00634699" w:rsidRPr="00EF739F" w:rsidRDefault="00634699" w:rsidP="00F66BB0">
                                    <w:pPr>
                                      <w:spacing w:after="0" w:line="240" w:lineRule="auto"/>
                                      <w:rPr>
                                        <w:rFonts w:ascii="Times New Roman" w:eastAsia="Times New Roman" w:hAnsi="Times New Roman" w:cs="Times New Roman"/>
                                        <w:sz w:val="20"/>
                                        <w:szCs w:val="20"/>
                                      </w:rPr>
                                    </w:pPr>
                                  </w:p>
                                </w:tc>
                              </w:tr>
                            </w:tbl>
                            <w:p w14:paraId="772B5472" w14:textId="77777777" w:rsidR="00634699" w:rsidRPr="00EF739F" w:rsidRDefault="00634699" w:rsidP="00F66BB0">
                              <w:pPr>
                                <w:spacing w:after="0" w:line="240" w:lineRule="auto"/>
                                <w:rPr>
                                  <w:rFonts w:ascii="Times New Roman" w:eastAsia="Times New Roman" w:hAnsi="Times New Roman" w:cs="Times New Roman"/>
                                  <w:sz w:val="24"/>
                                  <w:szCs w:val="24"/>
                                </w:rPr>
                              </w:pPr>
                            </w:p>
                          </w:tc>
                        </w:tr>
                      </w:tbl>
                      <w:p w14:paraId="23030785" w14:textId="77777777" w:rsidR="00634699" w:rsidRPr="00EF739F" w:rsidRDefault="00634699" w:rsidP="00F66BB0">
                        <w:pPr>
                          <w:spacing w:after="0" w:line="240" w:lineRule="auto"/>
                          <w:rPr>
                            <w:rFonts w:ascii="Times New Roman" w:eastAsia="Times New Roman" w:hAnsi="Times New Roman" w:cs="Times New Roman"/>
                            <w:sz w:val="24"/>
                            <w:szCs w:val="24"/>
                          </w:rPr>
                        </w:pPr>
                      </w:p>
                    </w:tc>
                    <w:tc>
                      <w:tcPr>
                        <w:tcW w:w="3645" w:type="dxa"/>
                        <w:hideMark/>
                      </w:tcPr>
                      <w:tbl>
                        <w:tblPr>
                          <w:tblW w:w="3639" w:type="dxa"/>
                          <w:tblCellMar>
                            <w:left w:w="0" w:type="dxa"/>
                            <w:right w:w="0" w:type="dxa"/>
                          </w:tblCellMar>
                          <w:tblLook w:val="04A0" w:firstRow="1" w:lastRow="0" w:firstColumn="1" w:lastColumn="0" w:noHBand="0" w:noVBand="1"/>
                        </w:tblPr>
                        <w:tblGrid>
                          <w:gridCol w:w="3639"/>
                        </w:tblGrid>
                        <w:tr w:rsidR="00634699" w:rsidRPr="00EF739F" w14:paraId="44E0E698" w14:textId="77777777" w:rsidTr="00F66BB0">
                          <w:tc>
                            <w:tcPr>
                              <w:tcW w:w="3465" w:type="dxa"/>
                              <w:hideMark/>
                            </w:tcPr>
                            <w:p w14:paraId="46444A3D" w14:textId="77777777" w:rsidR="00634699" w:rsidRPr="00EF739F" w:rsidRDefault="00634699" w:rsidP="00F66BB0">
                              <w:pPr>
                                <w:spacing w:after="0" w:line="240" w:lineRule="auto"/>
                                <w:rPr>
                                  <w:rFonts w:ascii="Times New Roman" w:eastAsia="Times New Roman" w:hAnsi="Times New Roman" w:cs="Times New Roman"/>
                                  <w:sz w:val="20"/>
                                  <w:szCs w:val="20"/>
                                </w:rPr>
                              </w:pPr>
                            </w:p>
                          </w:tc>
                        </w:tr>
                      </w:tbl>
                      <w:p w14:paraId="02FB264C" w14:textId="77777777" w:rsidR="00634699" w:rsidRPr="00EF739F" w:rsidRDefault="00634699" w:rsidP="00F66BB0">
                        <w:pPr>
                          <w:spacing w:after="0" w:line="240" w:lineRule="auto"/>
                          <w:rPr>
                            <w:rFonts w:ascii="Times New Roman" w:eastAsia="Times New Roman" w:hAnsi="Times New Roman" w:cs="Times New Roman"/>
                            <w:sz w:val="24"/>
                            <w:szCs w:val="24"/>
                          </w:rPr>
                        </w:pPr>
                      </w:p>
                    </w:tc>
                  </w:tr>
                </w:tbl>
                <w:p w14:paraId="1FCD2D73" w14:textId="77777777" w:rsidR="00634699" w:rsidRPr="00EF739F" w:rsidRDefault="00634699" w:rsidP="00F66BB0">
                  <w:pPr>
                    <w:spacing w:after="0" w:line="240" w:lineRule="auto"/>
                    <w:rPr>
                      <w:rFonts w:ascii="Times New Roman" w:eastAsia="Times New Roman" w:hAnsi="Times New Roman" w:cs="Times New Roman"/>
                      <w:sz w:val="24"/>
                      <w:szCs w:val="24"/>
                    </w:rPr>
                  </w:pPr>
                </w:p>
              </w:tc>
            </w:tr>
          </w:tbl>
          <w:p w14:paraId="6CA7ACF0" w14:textId="77777777" w:rsidR="00634699" w:rsidRPr="00EF739F" w:rsidRDefault="00634699" w:rsidP="00F66BB0">
            <w:pPr>
              <w:spacing w:after="0" w:line="240" w:lineRule="auto"/>
              <w:rPr>
                <w:rFonts w:ascii="Times New Roman" w:eastAsia="Times New Roman" w:hAnsi="Times New Roman" w:cs="Times New Roman"/>
                <w:sz w:val="24"/>
                <w:szCs w:val="24"/>
              </w:rPr>
            </w:pPr>
          </w:p>
        </w:tc>
      </w:tr>
    </w:tbl>
    <w:p w14:paraId="1A8C7473" w14:textId="77777777" w:rsidR="001D28CB" w:rsidRDefault="001D28CB"/>
    <w:sectPr w:rsidR="001D2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65A18"/>
    <w:multiLevelType w:val="multilevel"/>
    <w:tmpl w:val="1F38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77D59"/>
    <w:multiLevelType w:val="hybridMultilevel"/>
    <w:tmpl w:val="EF02A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11D16"/>
    <w:multiLevelType w:val="multilevel"/>
    <w:tmpl w:val="360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920775">
    <w:abstractNumId w:val="1"/>
  </w:num>
  <w:num w:numId="2" w16cid:durableId="688914817">
    <w:abstractNumId w:val="2"/>
  </w:num>
  <w:num w:numId="3" w16cid:durableId="152004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99"/>
    <w:rsid w:val="000F77F0"/>
    <w:rsid w:val="00121628"/>
    <w:rsid w:val="0013458D"/>
    <w:rsid w:val="001D28CB"/>
    <w:rsid w:val="001E0123"/>
    <w:rsid w:val="002B0E82"/>
    <w:rsid w:val="003F3B02"/>
    <w:rsid w:val="004D22DE"/>
    <w:rsid w:val="00634699"/>
    <w:rsid w:val="00770CF4"/>
    <w:rsid w:val="008171F9"/>
    <w:rsid w:val="008C4353"/>
    <w:rsid w:val="00A201DD"/>
    <w:rsid w:val="00A569C8"/>
    <w:rsid w:val="00DD48DB"/>
    <w:rsid w:val="00E315CE"/>
    <w:rsid w:val="00E72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7913"/>
  <w15:chartTrackingRefBased/>
  <w15:docId w15:val="{77AA81EF-CDB3-49EB-83C6-59E57C5B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99"/>
    <w:pPr>
      <w:spacing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634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699"/>
    <w:rPr>
      <w:rFonts w:eastAsiaTheme="majorEastAsia" w:cstheme="majorBidi"/>
      <w:color w:val="272727" w:themeColor="text1" w:themeTint="D8"/>
    </w:rPr>
  </w:style>
  <w:style w:type="paragraph" w:styleId="Title">
    <w:name w:val="Title"/>
    <w:basedOn w:val="Normal"/>
    <w:next w:val="Normal"/>
    <w:link w:val="TitleChar"/>
    <w:uiPriority w:val="10"/>
    <w:qFormat/>
    <w:rsid w:val="00634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699"/>
    <w:pPr>
      <w:spacing w:before="160"/>
      <w:jc w:val="center"/>
    </w:pPr>
    <w:rPr>
      <w:i/>
      <w:iCs/>
      <w:color w:val="404040" w:themeColor="text1" w:themeTint="BF"/>
    </w:rPr>
  </w:style>
  <w:style w:type="character" w:customStyle="1" w:styleId="QuoteChar">
    <w:name w:val="Quote Char"/>
    <w:basedOn w:val="DefaultParagraphFont"/>
    <w:link w:val="Quote"/>
    <w:uiPriority w:val="29"/>
    <w:rsid w:val="00634699"/>
    <w:rPr>
      <w:i/>
      <w:iCs/>
      <w:color w:val="404040" w:themeColor="text1" w:themeTint="BF"/>
    </w:rPr>
  </w:style>
  <w:style w:type="paragraph" w:styleId="ListParagraph">
    <w:name w:val="List Paragraph"/>
    <w:basedOn w:val="Normal"/>
    <w:uiPriority w:val="34"/>
    <w:qFormat/>
    <w:rsid w:val="00634699"/>
    <w:pPr>
      <w:ind w:left="720"/>
      <w:contextualSpacing/>
    </w:pPr>
  </w:style>
  <w:style w:type="character" w:styleId="IntenseEmphasis">
    <w:name w:val="Intense Emphasis"/>
    <w:basedOn w:val="DefaultParagraphFont"/>
    <w:uiPriority w:val="21"/>
    <w:qFormat/>
    <w:rsid w:val="00634699"/>
    <w:rPr>
      <w:i/>
      <w:iCs/>
      <w:color w:val="0F4761" w:themeColor="accent1" w:themeShade="BF"/>
    </w:rPr>
  </w:style>
  <w:style w:type="paragraph" w:styleId="IntenseQuote">
    <w:name w:val="Intense Quote"/>
    <w:basedOn w:val="Normal"/>
    <w:next w:val="Normal"/>
    <w:link w:val="IntenseQuoteChar"/>
    <w:uiPriority w:val="30"/>
    <w:qFormat/>
    <w:rsid w:val="00634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699"/>
    <w:rPr>
      <w:i/>
      <w:iCs/>
      <w:color w:val="0F4761" w:themeColor="accent1" w:themeShade="BF"/>
    </w:rPr>
  </w:style>
  <w:style w:type="character" w:styleId="IntenseReference">
    <w:name w:val="Intense Reference"/>
    <w:basedOn w:val="DefaultParagraphFont"/>
    <w:uiPriority w:val="32"/>
    <w:qFormat/>
    <w:rsid w:val="00634699"/>
    <w:rPr>
      <w:b/>
      <w:bCs/>
      <w:smallCaps/>
      <w:color w:val="0F4761" w:themeColor="accent1" w:themeShade="BF"/>
      <w:spacing w:val="5"/>
    </w:rPr>
  </w:style>
  <w:style w:type="character" w:styleId="Hyperlink">
    <w:name w:val="Hyperlink"/>
    <w:basedOn w:val="DefaultParagraphFont"/>
    <w:uiPriority w:val="99"/>
    <w:unhideWhenUsed/>
    <w:rsid w:val="00634699"/>
    <w:rPr>
      <w:color w:val="467886" w:themeColor="hyperlink"/>
      <w:u w:val="single"/>
    </w:rPr>
  </w:style>
  <w:style w:type="character" w:styleId="UnresolvedMention">
    <w:name w:val="Unresolved Mention"/>
    <w:basedOn w:val="DefaultParagraphFont"/>
    <w:uiPriority w:val="99"/>
    <w:semiHidden/>
    <w:unhideWhenUsed/>
    <w:rsid w:val="001E0123"/>
    <w:rPr>
      <w:color w:val="605E5C"/>
      <w:shd w:val="clear" w:color="auto" w:fill="E1DFDD"/>
    </w:rPr>
  </w:style>
  <w:style w:type="paragraph" w:styleId="Revision">
    <w:name w:val="Revision"/>
    <w:hidden/>
    <w:uiPriority w:val="99"/>
    <w:semiHidden/>
    <w:rsid w:val="00121628"/>
    <w:pPr>
      <w:spacing w:after="0" w:line="240" w:lineRule="auto"/>
    </w:pPr>
    <w:rPr>
      <w:rFonts w:eastAsia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b3TvQS5Q&amp;feature=youtu.be" TargetMode="External"/><Relationship Id="rId13" Type="http://schemas.openxmlformats.org/officeDocument/2006/relationships/hyperlink" Target="https://navigatenbs.expectinghealth.org/final-implementation-guide-to-prenatal-nbs-education-initiat/full-view.html" TargetMode="External"/><Relationship Id="rId3" Type="http://schemas.openxmlformats.org/officeDocument/2006/relationships/settings" Target="settings.xml"/><Relationship Id="rId7" Type="http://schemas.openxmlformats.org/officeDocument/2006/relationships/hyperlink" Target="https://youtu.be/STBbrZV3K6k?si=GD6mtQF0syKHVgVA" TargetMode="External"/><Relationship Id="rId12" Type="http://schemas.openxmlformats.org/officeDocument/2006/relationships/hyperlink" Target="https://www.newsteps.org/sites/default/files/resources/download/Education%20Workgroup%20Resource%20Lis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dhs.wisconsin.gov/newbornscreening/index.htm" TargetMode="External"/><Relationship Id="rId5" Type="http://schemas.openxmlformats.org/officeDocument/2006/relationships/hyperlink" Target="https://nam12.safelinks.protection.outlook.com/?url=http%3A%2F%2Fsend.aphl.org%2Flink.cfm%3Fr%3DJC2oFm4w75uHW-4oP2HoFA~~%26pe%3Dtvr94Qg81Sc2wmJhc5ufAEQ3K-oW4pwb_uSoWnGDUi4L9CLT_w8TuwdqW0lWLD9omGkJVa8Pjesy6A_ZDc1Skg~~%26t%3DZZO0hxuOgQ8w-UxmH15SAQ~~&amp;data=05%7C02%7Ckristy.albrecht%40aphl.org%7C53ae4b0cac8b4db1a4cf08dc271d1675%7C434e0aedef824568a0493b17adc08ddd%7C1%7C0%7C638428253087836295%7CUnknown%7CTWFpbGZsb3d8eyJWIjoiMC4wLjAwMDAiLCJQIjoiV2luMzIiLCJBTiI6Ik1haWwiLCJXVCI6Mn0%3D%7C0%7C%7C%7C&amp;sdata=Fr5wk9LiTUOxUj1g4jO3i8fW1mj5XzG3pfbV8trB6wI%3D&amp;reserved=0" TargetMode="External"/><Relationship Id="rId15" Type="http://schemas.openxmlformats.org/officeDocument/2006/relationships/theme" Target="theme/theme1.xml"/><Relationship Id="rId10" Type="http://schemas.openxmlformats.org/officeDocument/2006/relationships/hyperlink" Target="https://nbss.ks.gov/information-for-families/welcoming-babies-2/" TargetMode="External"/><Relationship Id="rId4" Type="http://schemas.openxmlformats.org/officeDocument/2006/relationships/webSettings" Target="webSettings.xml"/><Relationship Id="rId9" Type="http://schemas.openxmlformats.org/officeDocument/2006/relationships/hyperlink" Target="https://www.kansasmch.org/documents/Guide%20to%20Kansas%20Family%20Supports%20Brochur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7036</Characters>
  <Application>Microsoft Office Word</Application>
  <DocSecurity>0</DocSecurity>
  <Lines>132</Lines>
  <Paragraphs>88</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Sheller, Ruthanne  | APHL</dc:creator>
  <cp:keywords/>
  <dc:description/>
  <cp:lastModifiedBy>Jenkins, Amanda | APHL</cp:lastModifiedBy>
  <cp:revision>2</cp:revision>
  <dcterms:created xsi:type="dcterms:W3CDTF">2026-01-13T14:45:00Z</dcterms:created>
  <dcterms:modified xsi:type="dcterms:W3CDTF">2026-01-13T14:45:00Z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7bf967f1-dc97-44ee-a2ab-907e1c138260</vt:lpwstr>
  </property>
</Properties>
</file>